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BDEE1" w14:textId="5F66CBDC" w:rsidR="00B045EE" w:rsidRPr="0067640B" w:rsidRDefault="00B045EE" w:rsidP="0067640B">
      <w:pPr>
        <w:pStyle w:val="Titolo1"/>
      </w:pPr>
      <w:r w:rsidRPr="0067640B">
        <w:t>Augmented Abstracts: Osteotomy after 2000s</w:t>
      </w:r>
    </w:p>
    <w:p w14:paraId="5BBD2E2B" w14:textId="77777777" w:rsidR="00B045EE" w:rsidRPr="0067640B" w:rsidRDefault="00B045EE" w:rsidP="0067640B">
      <w:pPr>
        <w:pStyle w:val="Titolo1"/>
      </w:pPr>
    </w:p>
    <w:p w14:paraId="49A407FB" w14:textId="433AE986" w:rsidR="00DB1C37" w:rsidRPr="00604744" w:rsidRDefault="00DB1C37" w:rsidP="00604744">
      <w:pPr>
        <w:jc w:val="both"/>
        <w:rPr>
          <w:rFonts w:ascii="Times New Roman" w:hAnsi="Times New Roman" w:cs="Times New Roman"/>
          <w:sz w:val="24"/>
          <w:szCs w:val="24"/>
        </w:rPr>
      </w:pPr>
      <w:r w:rsidRPr="00604744">
        <w:rPr>
          <w:rFonts w:ascii="Times New Roman" w:hAnsi="Times New Roman" w:cs="Times New Roman"/>
          <w:sz w:val="24"/>
          <w:szCs w:val="24"/>
        </w:rPr>
        <w:t xml:space="preserve">Dall’inizio 2000 un grande numero di articoli è stato pubblicato riguardo alle osteotomie. La scelta di questi </w:t>
      </w:r>
      <w:r w:rsidR="00B045EE" w:rsidRPr="00604744">
        <w:rPr>
          <w:rFonts w:ascii="Times New Roman" w:hAnsi="Times New Roman" w:cs="Times New Roman"/>
          <w:sz w:val="24"/>
          <w:szCs w:val="24"/>
        </w:rPr>
        <w:t xml:space="preserve">10 </w:t>
      </w:r>
      <w:r w:rsidR="00F3274C" w:rsidRPr="00604744">
        <w:rPr>
          <w:rFonts w:ascii="Times New Roman" w:hAnsi="Times New Roman" w:cs="Times New Roman"/>
          <w:sz w:val="24"/>
          <w:szCs w:val="24"/>
        </w:rPr>
        <w:t>articoli è legata</w:t>
      </w:r>
      <w:r w:rsidR="00DA4B40" w:rsidRPr="00604744">
        <w:rPr>
          <w:rFonts w:ascii="Times New Roman" w:hAnsi="Times New Roman" w:cs="Times New Roman"/>
          <w:sz w:val="24"/>
          <w:szCs w:val="24"/>
        </w:rPr>
        <w:t xml:space="preserve"> alla creazione di una forma mentis dell`</w:t>
      </w:r>
      <w:r w:rsidR="00F3274C" w:rsidRPr="00604744">
        <w:rPr>
          <w:rFonts w:ascii="Times New Roman" w:hAnsi="Times New Roman" w:cs="Times New Roman"/>
          <w:sz w:val="24"/>
          <w:szCs w:val="24"/>
        </w:rPr>
        <w:t>osteotomista</w:t>
      </w:r>
      <w:r w:rsidR="00DA4B40" w:rsidRPr="00604744">
        <w:rPr>
          <w:rFonts w:ascii="Times New Roman" w:hAnsi="Times New Roman" w:cs="Times New Roman"/>
          <w:sz w:val="24"/>
          <w:szCs w:val="24"/>
        </w:rPr>
        <w:t xml:space="preserve"> moderno nella</w:t>
      </w:r>
      <w:r w:rsidRPr="00604744">
        <w:rPr>
          <w:rFonts w:ascii="Times New Roman" w:hAnsi="Times New Roman" w:cs="Times New Roman"/>
          <w:sz w:val="24"/>
          <w:szCs w:val="24"/>
        </w:rPr>
        <w:t xml:space="preserve"> valutazione</w:t>
      </w:r>
      <w:r w:rsidR="00DA4B40" w:rsidRPr="00604744">
        <w:rPr>
          <w:rFonts w:ascii="Times New Roman" w:hAnsi="Times New Roman" w:cs="Times New Roman"/>
          <w:sz w:val="24"/>
          <w:szCs w:val="24"/>
        </w:rPr>
        <w:t xml:space="preserve"> </w:t>
      </w:r>
      <w:r w:rsidR="00F3274C" w:rsidRPr="00604744">
        <w:rPr>
          <w:rFonts w:ascii="Times New Roman" w:hAnsi="Times New Roman" w:cs="Times New Roman"/>
          <w:sz w:val="24"/>
          <w:szCs w:val="24"/>
        </w:rPr>
        <w:t>critica di</w:t>
      </w:r>
      <w:r w:rsidRPr="00604744">
        <w:rPr>
          <w:rFonts w:ascii="Times New Roman" w:hAnsi="Times New Roman" w:cs="Times New Roman"/>
          <w:sz w:val="24"/>
          <w:szCs w:val="24"/>
        </w:rPr>
        <w:t xml:space="preserve"> ogni singolo paziente per raggiungere un </w:t>
      </w:r>
      <w:r w:rsidR="00F3274C" w:rsidRPr="00604744">
        <w:rPr>
          <w:rFonts w:ascii="Times New Roman" w:hAnsi="Times New Roman" w:cs="Times New Roman"/>
          <w:sz w:val="24"/>
          <w:szCs w:val="24"/>
        </w:rPr>
        <w:t>risultato clinico</w:t>
      </w:r>
      <w:r w:rsidRPr="00604744">
        <w:rPr>
          <w:rFonts w:ascii="Times New Roman" w:hAnsi="Times New Roman" w:cs="Times New Roman"/>
          <w:sz w:val="24"/>
          <w:szCs w:val="24"/>
        </w:rPr>
        <w:t xml:space="preserve"> ottimale.</w:t>
      </w:r>
    </w:p>
    <w:p w14:paraId="7819D2DB" w14:textId="77777777" w:rsidR="00DB1C37" w:rsidRPr="00604744" w:rsidRDefault="00DB1C37" w:rsidP="00604744">
      <w:pPr>
        <w:jc w:val="both"/>
        <w:rPr>
          <w:rFonts w:ascii="Times New Roman" w:hAnsi="Times New Roman" w:cs="Times New Roman"/>
          <w:sz w:val="24"/>
          <w:szCs w:val="24"/>
        </w:rPr>
      </w:pPr>
    </w:p>
    <w:p w14:paraId="438CD5A0" w14:textId="20EDCEEC" w:rsidR="00DB1C37" w:rsidRPr="00604744" w:rsidRDefault="00DB1C37" w:rsidP="00604744">
      <w:pPr>
        <w:jc w:val="both"/>
        <w:rPr>
          <w:rFonts w:ascii="Times New Roman" w:hAnsi="Times New Roman" w:cs="Times New Roman"/>
          <w:sz w:val="24"/>
          <w:szCs w:val="24"/>
        </w:rPr>
      </w:pPr>
      <w:r w:rsidRPr="00604744">
        <w:rPr>
          <w:rFonts w:ascii="Times New Roman" w:hAnsi="Times New Roman" w:cs="Times New Roman"/>
          <w:sz w:val="24"/>
          <w:szCs w:val="24"/>
        </w:rPr>
        <w:t>Questo processo di valutazione consiste in 10 passaggi:</w:t>
      </w:r>
    </w:p>
    <w:p w14:paraId="20720861" w14:textId="5B9175EF" w:rsidR="006368EA" w:rsidRDefault="006368EA" w:rsidP="00604744">
      <w:pPr>
        <w:pStyle w:val="Paragrafoelenco"/>
        <w:numPr>
          <w:ilvl w:val="0"/>
          <w:numId w:val="4"/>
        </w:numPr>
        <w:jc w:val="both"/>
        <w:rPr>
          <w:rFonts w:ascii="Times New Roman" w:hAnsi="Times New Roman" w:cs="Times New Roman"/>
          <w:sz w:val="24"/>
          <w:szCs w:val="24"/>
          <w:lang w:val="en-AU"/>
        </w:rPr>
      </w:pPr>
      <w:bookmarkStart w:id="0" w:name="_Hlk50458516"/>
      <w:r>
        <w:rPr>
          <w:rFonts w:ascii="Times New Roman" w:hAnsi="Times New Roman" w:cs="Times New Roman"/>
          <w:sz w:val="24"/>
          <w:szCs w:val="24"/>
          <w:lang w:val="en-AU"/>
        </w:rPr>
        <w:t>O</w:t>
      </w:r>
      <w:r w:rsidRPr="006368EA">
        <w:rPr>
          <w:rFonts w:ascii="Times New Roman" w:hAnsi="Times New Roman" w:cs="Times New Roman"/>
          <w:sz w:val="24"/>
          <w:szCs w:val="24"/>
          <w:lang w:val="en-AU"/>
        </w:rPr>
        <w:t>s</w:t>
      </w:r>
      <w:r>
        <w:rPr>
          <w:rFonts w:ascii="Times New Roman" w:hAnsi="Times New Roman" w:cs="Times New Roman"/>
          <w:sz w:val="24"/>
          <w:szCs w:val="24"/>
          <w:lang w:val="en-AU"/>
        </w:rPr>
        <w:t>teotomy around the knee, la scuola italiana</w:t>
      </w:r>
    </w:p>
    <w:p w14:paraId="34D68A8A" w14:textId="77777777" w:rsidR="006368EA" w:rsidRPr="006368EA" w:rsidRDefault="006368EA" w:rsidP="006368EA">
      <w:pPr>
        <w:pStyle w:val="Paragrafoelenco"/>
        <w:ind w:left="1065"/>
        <w:jc w:val="both"/>
        <w:rPr>
          <w:rFonts w:ascii="Times New Roman" w:hAnsi="Times New Roman" w:cs="Times New Roman"/>
          <w:sz w:val="24"/>
          <w:szCs w:val="24"/>
          <w:lang w:val="en-AU"/>
        </w:rPr>
      </w:pPr>
    </w:p>
    <w:p w14:paraId="5DE098B3" w14:textId="523BD399" w:rsidR="00DB1C37" w:rsidRPr="00604744" w:rsidRDefault="006E77DF" w:rsidP="00604744">
      <w:pPr>
        <w:pStyle w:val="Paragrafoelenco"/>
        <w:numPr>
          <w:ilvl w:val="0"/>
          <w:numId w:val="4"/>
        </w:numPr>
        <w:jc w:val="both"/>
        <w:rPr>
          <w:rFonts w:ascii="Times New Roman" w:hAnsi="Times New Roman" w:cs="Times New Roman"/>
          <w:sz w:val="24"/>
          <w:szCs w:val="24"/>
        </w:rPr>
      </w:pPr>
      <w:r w:rsidRPr="00604744">
        <w:rPr>
          <w:rFonts w:ascii="Times New Roman" w:hAnsi="Times New Roman" w:cs="Times New Roman"/>
          <w:sz w:val="24"/>
          <w:szCs w:val="24"/>
        </w:rPr>
        <w:t xml:space="preserve">L’indicazione </w:t>
      </w:r>
      <w:r>
        <w:rPr>
          <w:rFonts w:ascii="Times New Roman" w:hAnsi="Times New Roman" w:cs="Times New Roman"/>
          <w:sz w:val="24"/>
          <w:szCs w:val="24"/>
        </w:rPr>
        <w:t>all’osteotomia</w:t>
      </w:r>
      <w:r w:rsidR="00BD5FAD">
        <w:rPr>
          <w:rFonts w:ascii="Times New Roman" w:hAnsi="Times New Roman" w:cs="Times New Roman"/>
          <w:sz w:val="24"/>
          <w:szCs w:val="24"/>
        </w:rPr>
        <w:t>, semplicemente</w:t>
      </w:r>
    </w:p>
    <w:p w14:paraId="5DD72BAA" w14:textId="49249564" w:rsidR="005C38F6" w:rsidRPr="00604744" w:rsidRDefault="00783567" w:rsidP="00604744">
      <w:pPr>
        <w:pStyle w:val="Paragrafoelenco"/>
        <w:ind w:left="1065"/>
        <w:jc w:val="both"/>
        <w:rPr>
          <w:rFonts w:ascii="Times New Roman" w:hAnsi="Times New Roman" w:cs="Times New Roman"/>
          <w:sz w:val="24"/>
          <w:szCs w:val="24"/>
        </w:rPr>
      </w:pPr>
      <w:r>
        <w:rPr>
          <w:rFonts w:ascii="Times New Roman" w:hAnsi="Times New Roman" w:cs="Times New Roman"/>
          <w:sz w:val="24"/>
          <w:szCs w:val="24"/>
        </w:rPr>
        <w:t xml:space="preserve"> </w:t>
      </w:r>
    </w:p>
    <w:p w14:paraId="0848056D" w14:textId="1A2499ED" w:rsidR="004C3B96" w:rsidRDefault="006E77DF" w:rsidP="0067640B">
      <w:pPr>
        <w:pStyle w:val="Paragrafoelenco"/>
        <w:numPr>
          <w:ilvl w:val="0"/>
          <w:numId w:val="4"/>
        </w:numPr>
        <w:jc w:val="both"/>
        <w:rPr>
          <w:rFonts w:ascii="Times New Roman" w:hAnsi="Times New Roman" w:cs="Times New Roman"/>
          <w:sz w:val="24"/>
          <w:szCs w:val="24"/>
        </w:rPr>
      </w:pPr>
      <w:r>
        <w:rPr>
          <w:rFonts w:ascii="Times New Roman" w:hAnsi="Times New Roman" w:cs="Times New Roman"/>
          <w:sz w:val="24"/>
          <w:szCs w:val="24"/>
        </w:rPr>
        <w:t>L</w:t>
      </w:r>
      <w:r w:rsidRPr="0067640B">
        <w:rPr>
          <w:rFonts w:ascii="Times New Roman" w:hAnsi="Times New Roman" w:cs="Times New Roman"/>
          <w:sz w:val="24"/>
          <w:szCs w:val="24"/>
        </w:rPr>
        <w:t>’osteotomia</w:t>
      </w:r>
      <w:r w:rsidR="0067640B">
        <w:rPr>
          <w:rFonts w:ascii="Times New Roman" w:hAnsi="Times New Roman" w:cs="Times New Roman"/>
          <w:sz w:val="24"/>
          <w:szCs w:val="24"/>
        </w:rPr>
        <w:t xml:space="preserve"> preservando la joint line</w:t>
      </w:r>
    </w:p>
    <w:p w14:paraId="51796143" w14:textId="77777777" w:rsidR="0067640B" w:rsidRPr="0067640B" w:rsidRDefault="0067640B" w:rsidP="0067640B">
      <w:pPr>
        <w:pStyle w:val="Paragrafoelenco"/>
        <w:rPr>
          <w:rFonts w:ascii="Times New Roman" w:hAnsi="Times New Roman" w:cs="Times New Roman"/>
          <w:sz w:val="24"/>
          <w:szCs w:val="24"/>
        </w:rPr>
      </w:pPr>
    </w:p>
    <w:p w14:paraId="5858C4F8" w14:textId="77777777" w:rsidR="0067640B" w:rsidRDefault="0067640B" w:rsidP="00604744">
      <w:pPr>
        <w:pStyle w:val="Paragrafoelenco"/>
        <w:numPr>
          <w:ilvl w:val="0"/>
          <w:numId w:val="4"/>
        </w:numPr>
        <w:jc w:val="both"/>
        <w:rPr>
          <w:rFonts w:ascii="Times New Roman" w:hAnsi="Times New Roman" w:cs="Times New Roman"/>
          <w:sz w:val="24"/>
          <w:szCs w:val="24"/>
        </w:rPr>
      </w:pPr>
      <w:r w:rsidRPr="0067640B">
        <w:rPr>
          <w:rFonts w:ascii="Times New Roman" w:hAnsi="Times New Roman" w:cs="Times New Roman"/>
          <w:sz w:val="24"/>
          <w:szCs w:val="24"/>
        </w:rPr>
        <w:t>Planning preoperatorio</w:t>
      </w:r>
    </w:p>
    <w:p w14:paraId="6089414C" w14:textId="77777777" w:rsidR="0067640B" w:rsidRPr="0067640B" w:rsidRDefault="0067640B" w:rsidP="0067640B">
      <w:pPr>
        <w:pStyle w:val="Paragrafoelenco"/>
        <w:rPr>
          <w:rFonts w:ascii="Times New Roman" w:hAnsi="Times New Roman" w:cs="Times New Roman"/>
          <w:sz w:val="24"/>
          <w:szCs w:val="24"/>
        </w:rPr>
      </w:pPr>
    </w:p>
    <w:p w14:paraId="73318AC8" w14:textId="14CE6A5E" w:rsidR="00DB1C37" w:rsidRPr="0067640B" w:rsidRDefault="0067640B" w:rsidP="00604744">
      <w:pPr>
        <w:pStyle w:val="Paragrafoelenco"/>
        <w:numPr>
          <w:ilvl w:val="0"/>
          <w:numId w:val="4"/>
        </w:numPr>
        <w:jc w:val="both"/>
        <w:rPr>
          <w:rFonts w:ascii="Times New Roman" w:hAnsi="Times New Roman" w:cs="Times New Roman"/>
          <w:sz w:val="24"/>
          <w:szCs w:val="24"/>
        </w:rPr>
      </w:pPr>
      <w:r>
        <w:rPr>
          <w:rFonts w:ascii="Times New Roman" w:hAnsi="Times New Roman" w:cs="Times New Roman"/>
          <w:sz w:val="24"/>
          <w:szCs w:val="24"/>
        </w:rPr>
        <w:t>Quale mezzo di sintesi? La</w:t>
      </w:r>
      <w:r w:rsidR="00DB1C37" w:rsidRPr="0067640B">
        <w:rPr>
          <w:rFonts w:ascii="Times New Roman" w:hAnsi="Times New Roman" w:cs="Times New Roman"/>
          <w:sz w:val="24"/>
          <w:szCs w:val="24"/>
        </w:rPr>
        <w:t xml:space="preserve"> placc</w:t>
      </w:r>
      <w:r>
        <w:rPr>
          <w:rFonts w:ascii="Times New Roman" w:hAnsi="Times New Roman" w:cs="Times New Roman"/>
          <w:sz w:val="24"/>
          <w:szCs w:val="24"/>
        </w:rPr>
        <w:t>a</w:t>
      </w:r>
      <w:r w:rsidR="00DB1C37" w:rsidRPr="0067640B">
        <w:rPr>
          <w:rFonts w:ascii="Times New Roman" w:hAnsi="Times New Roman" w:cs="Times New Roman"/>
          <w:sz w:val="24"/>
          <w:szCs w:val="24"/>
        </w:rPr>
        <w:t xml:space="preserve"> a stabilita` angolare</w:t>
      </w:r>
    </w:p>
    <w:p w14:paraId="1C805AC2" w14:textId="3EAA038E" w:rsidR="005C38F6" w:rsidRPr="00604744" w:rsidRDefault="0067640B" w:rsidP="00604744">
      <w:pPr>
        <w:pStyle w:val="Paragrafoelenco"/>
        <w:ind w:left="1065"/>
        <w:jc w:val="both"/>
        <w:rPr>
          <w:rFonts w:ascii="Times New Roman" w:hAnsi="Times New Roman" w:cs="Times New Roman"/>
          <w:sz w:val="24"/>
          <w:szCs w:val="24"/>
        </w:rPr>
      </w:pPr>
      <w:r>
        <w:rPr>
          <w:rFonts w:ascii="Times New Roman" w:hAnsi="Times New Roman" w:cs="Times New Roman"/>
          <w:sz w:val="24"/>
          <w:szCs w:val="24"/>
        </w:rPr>
        <w:t xml:space="preserve"> </w:t>
      </w:r>
    </w:p>
    <w:p w14:paraId="5660252D" w14:textId="6412B5D5" w:rsidR="00DB1C37" w:rsidRDefault="0067640B" w:rsidP="00604744">
      <w:pPr>
        <w:pStyle w:val="Paragrafoelenco"/>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La tecnica di Lobenhoffer e i suoi risultati nelle </w:t>
      </w:r>
      <w:r w:rsidR="00DA4B40" w:rsidRPr="00604744">
        <w:rPr>
          <w:rFonts w:ascii="Times New Roman" w:hAnsi="Times New Roman" w:cs="Times New Roman"/>
          <w:sz w:val="24"/>
          <w:szCs w:val="24"/>
        </w:rPr>
        <w:t xml:space="preserve">OW-HTO + Biplanar osteotomy </w:t>
      </w:r>
      <w:r>
        <w:rPr>
          <w:rFonts w:ascii="Times New Roman" w:hAnsi="Times New Roman" w:cs="Times New Roman"/>
          <w:sz w:val="24"/>
          <w:szCs w:val="24"/>
        </w:rPr>
        <w:t xml:space="preserve"> </w:t>
      </w:r>
    </w:p>
    <w:p w14:paraId="0E9ED621" w14:textId="77777777" w:rsidR="0067640B" w:rsidRPr="00604744" w:rsidRDefault="0067640B" w:rsidP="0067640B">
      <w:pPr>
        <w:pStyle w:val="Paragrafoelenco"/>
        <w:ind w:left="1065"/>
        <w:jc w:val="both"/>
        <w:rPr>
          <w:rFonts w:ascii="Times New Roman" w:hAnsi="Times New Roman" w:cs="Times New Roman"/>
          <w:sz w:val="24"/>
          <w:szCs w:val="24"/>
        </w:rPr>
      </w:pPr>
    </w:p>
    <w:p w14:paraId="775458EE" w14:textId="32E060FC" w:rsidR="0067640B" w:rsidRPr="00604744" w:rsidRDefault="0067640B" w:rsidP="0067640B">
      <w:pPr>
        <w:pStyle w:val="Paragrafoelenco"/>
        <w:numPr>
          <w:ilvl w:val="0"/>
          <w:numId w:val="4"/>
        </w:numPr>
        <w:jc w:val="both"/>
        <w:rPr>
          <w:rFonts w:ascii="Times New Roman" w:hAnsi="Times New Roman" w:cs="Times New Roman"/>
          <w:sz w:val="24"/>
          <w:szCs w:val="24"/>
        </w:rPr>
      </w:pPr>
      <w:r w:rsidRPr="00604744">
        <w:rPr>
          <w:rFonts w:ascii="Times New Roman" w:hAnsi="Times New Roman" w:cs="Times New Roman"/>
          <w:sz w:val="24"/>
          <w:szCs w:val="24"/>
        </w:rPr>
        <w:t>D</w:t>
      </w:r>
      <w:r>
        <w:rPr>
          <w:rFonts w:ascii="Times New Roman" w:hAnsi="Times New Roman" w:cs="Times New Roman"/>
          <w:sz w:val="24"/>
          <w:szCs w:val="24"/>
        </w:rPr>
        <w:t>istale Femoral Osteotomy: apertura o chiusura?</w:t>
      </w:r>
    </w:p>
    <w:p w14:paraId="7BA94C13" w14:textId="79E4A535" w:rsidR="005C38F6" w:rsidRPr="0067640B" w:rsidRDefault="005C38F6" w:rsidP="0067640B">
      <w:pPr>
        <w:pStyle w:val="Paragrafoelenco"/>
        <w:ind w:left="1065"/>
        <w:jc w:val="both"/>
        <w:rPr>
          <w:rFonts w:ascii="Times New Roman" w:hAnsi="Times New Roman" w:cs="Times New Roman"/>
          <w:sz w:val="24"/>
          <w:szCs w:val="24"/>
        </w:rPr>
      </w:pPr>
    </w:p>
    <w:p w14:paraId="48D1C1ED" w14:textId="37682131" w:rsidR="00DB1C37" w:rsidRPr="00604744" w:rsidRDefault="00DB1C37" w:rsidP="00604744">
      <w:pPr>
        <w:pStyle w:val="Paragrafoelenco"/>
        <w:numPr>
          <w:ilvl w:val="0"/>
          <w:numId w:val="4"/>
        </w:numPr>
        <w:jc w:val="both"/>
        <w:rPr>
          <w:rFonts w:ascii="Times New Roman" w:hAnsi="Times New Roman" w:cs="Times New Roman"/>
          <w:sz w:val="24"/>
          <w:szCs w:val="24"/>
          <w:lang w:val="en-AU"/>
        </w:rPr>
      </w:pPr>
      <w:r w:rsidRPr="00604744">
        <w:rPr>
          <w:rFonts w:ascii="Times New Roman" w:hAnsi="Times New Roman" w:cs="Times New Roman"/>
          <w:sz w:val="24"/>
          <w:szCs w:val="24"/>
          <w:lang w:val="en-AU"/>
        </w:rPr>
        <w:t>Double level osteotomy</w:t>
      </w:r>
      <w:r w:rsidR="0067640B">
        <w:rPr>
          <w:rFonts w:ascii="Times New Roman" w:hAnsi="Times New Roman" w:cs="Times New Roman"/>
          <w:sz w:val="24"/>
          <w:szCs w:val="24"/>
          <w:lang w:val="en-AU"/>
        </w:rPr>
        <w:t xml:space="preserve">: </w:t>
      </w:r>
    </w:p>
    <w:p w14:paraId="2D294B84" w14:textId="2AA2B695" w:rsidR="00921611" w:rsidRPr="00604744" w:rsidRDefault="0067640B" w:rsidP="00604744">
      <w:pPr>
        <w:pStyle w:val="Paragrafoelenco"/>
        <w:ind w:left="1065"/>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 </w:t>
      </w:r>
    </w:p>
    <w:p w14:paraId="5E27EB54" w14:textId="5E8BBB2A" w:rsidR="00DB1C37" w:rsidRDefault="004659BD" w:rsidP="00604744">
      <w:pPr>
        <w:pStyle w:val="Paragrafoelenco"/>
        <w:numPr>
          <w:ilvl w:val="0"/>
          <w:numId w:val="4"/>
        </w:numPr>
        <w:jc w:val="both"/>
        <w:rPr>
          <w:rFonts w:ascii="Times New Roman" w:hAnsi="Times New Roman" w:cs="Times New Roman"/>
          <w:sz w:val="24"/>
          <w:szCs w:val="24"/>
        </w:rPr>
      </w:pPr>
      <w:proofErr w:type="gramStart"/>
      <w:r w:rsidRPr="00604744">
        <w:rPr>
          <w:rFonts w:ascii="Times New Roman" w:hAnsi="Times New Roman" w:cs="Times New Roman"/>
          <w:sz w:val="24"/>
          <w:szCs w:val="24"/>
        </w:rPr>
        <w:t>Osteotomia  vs</w:t>
      </w:r>
      <w:proofErr w:type="gramEnd"/>
      <w:r w:rsidRPr="00604744">
        <w:rPr>
          <w:rFonts w:ascii="Times New Roman" w:hAnsi="Times New Roman" w:cs="Times New Roman"/>
          <w:sz w:val="24"/>
          <w:szCs w:val="24"/>
        </w:rPr>
        <w:t xml:space="preserve"> </w:t>
      </w:r>
      <w:r w:rsidR="0067640B">
        <w:rPr>
          <w:rFonts w:ascii="Times New Roman" w:hAnsi="Times New Roman" w:cs="Times New Roman"/>
          <w:sz w:val="24"/>
          <w:szCs w:val="24"/>
        </w:rPr>
        <w:t xml:space="preserve"> </w:t>
      </w:r>
      <w:r w:rsidR="00BD5FAD">
        <w:rPr>
          <w:rFonts w:ascii="Times New Roman" w:hAnsi="Times New Roman" w:cs="Times New Roman"/>
          <w:sz w:val="24"/>
          <w:szCs w:val="24"/>
        </w:rPr>
        <w:t>m</w:t>
      </w:r>
      <w:r w:rsidR="0067640B">
        <w:rPr>
          <w:rFonts w:ascii="Times New Roman" w:hAnsi="Times New Roman" w:cs="Times New Roman"/>
          <w:sz w:val="24"/>
          <w:szCs w:val="24"/>
        </w:rPr>
        <w:t>onocompartimentale</w:t>
      </w:r>
      <w:r w:rsidR="00BD5FAD">
        <w:rPr>
          <w:rFonts w:ascii="Times New Roman" w:hAnsi="Times New Roman" w:cs="Times New Roman"/>
          <w:sz w:val="24"/>
          <w:szCs w:val="24"/>
        </w:rPr>
        <w:t xml:space="preserve"> nei soggetti ad elevate richieste funzionali</w:t>
      </w:r>
    </w:p>
    <w:p w14:paraId="27A6D24B" w14:textId="77777777" w:rsidR="0067640B" w:rsidRPr="0067640B" w:rsidRDefault="0067640B" w:rsidP="0067640B">
      <w:pPr>
        <w:pStyle w:val="Paragrafoelenco"/>
        <w:rPr>
          <w:rFonts w:ascii="Times New Roman" w:hAnsi="Times New Roman" w:cs="Times New Roman"/>
          <w:sz w:val="24"/>
          <w:szCs w:val="24"/>
        </w:rPr>
      </w:pPr>
    </w:p>
    <w:p w14:paraId="6F5EEC94" w14:textId="6DDA5FF5" w:rsidR="0067640B" w:rsidRPr="00604744" w:rsidRDefault="00E4108C" w:rsidP="00604744">
      <w:pPr>
        <w:pStyle w:val="Paragrafoelenco"/>
        <w:numPr>
          <w:ilvl w:val="0"/>
          <w:numId w:val="4"/>
        </w:numPr>
        <w:jc w:val="both"/>
        <w:rPr>
          <w:rFonts w:ascii="Times New Roman" w:hAnsi="Times New Roman" w:cs="Times New Roman"/>
          <w:sz w:val="24"/>
          <w:szCs w:val="24"/>
        </w:rPr>
      </w:pPr>
      <w:r>
        <w:rPr>
          <w:rFonts w:ascii="Times New Roman" w:hAnsi="Times New Roman" w:cs="Times New Roman"/>
          <w:sz w:val="24"/>
          <w:szCs w:val="24"/>
        </w:rPr>
        <w:t>Conversione in TKA</w:t>
      </w:r>
    </w:p>
    <w:p w14:paraId="2E4F860C" w14:textId="07AA08A0" w:rsidR="004659BD" w:rsidRPr="00604744" w:rsidRDefault="004659BD" w:rsidP="0067640B">
      <w:pPr>
        <w:pStyle w:val="Paragrafoelenco"/>
        <w:ind w:left="1065"/>
        <w:jc w:val="both"/>
        <w:rPr>
          <w:rFonts w:ascii="Times New Roman" w:hAnsi="Times New Roman" w:cs="Times New Roman"/>
          <w:sz w:val="24"/>
          <w:szCs w:val="24"/>
        </w:rPr>
      </w:pPr>
    </w:p>
    <w:bookmarkEnd w:id="0"/>
    <w:p w14:paraId="6681B497" w14:textId="51A61DD0" w:rsidR="00DA4B40" w:rsidRPr="00604744" w:rsidRDefault="004659BD" w:rsidP="00604744">
      <w:pPr>
        <w:pStyle w:val="Paragrafoelenco"/>
        <w:ind w:left="1065"/>
        <w:jc w:val="both"/>
        <w:rPr>
          <w:rFonts w:ascii="Times New Roman" w:hAnsi="Times New Roman" w:cs="Times New Roman"/>
          <w:sz w:val="24"/>
          <w:szCs w:val="24"/>
        </w:rPr>
      </w:pPr>
      <w:r w:rsidRPr="00604744">
        <w:rPr>
          <w:rFonts w:ascii="Times New Roman" w:hAnsi="Times New Roman" w:cs="Times New Roman"/>
          <w:sz w:val="24"/>
          <w:szCs w:val="24"/>
        </w:rPr>
        <w:t xml:space="preserve"> </w:t>
      </w:r>
    </w:p>
    <w:p w14:paraId="43A518E4" w14:textId="02F421B2" w:rsidR="00DB1C37" w:rsidRPr="00604744" w:rsidRDefault="00DB1C37" w:rsidP="00604744">
      <w:pPr>
        <w:jc w:val="both"/>
        <w:rPr>
          <w:rFonts w:ascii="Times New Roman" w:hAnsi="Times New Roman" w:cs="Times New Roman"/>
          <w:sz w:val="24"/>
          <w:szCs w:val="24"/>
        </w:rPr>
      </w:pPr>
    </w:p>
    <w:p w14:paraId="6ABD65AE" w14:textId="7EF2B101" w:rsidR="00921611" w:rsidRPr="00604744" w:rsidRDefault="00921611" w:rsidP="00604744">
      <w:pPr>
        <w:jc w:val="both"/>
        <w:rPr>
          <w:rFonts w:ascii="Times New Roman" w:hAnsi="Times New Roman" w:cs="Times New Roman"/>
          <w:sz w:val="24"/>
          <w:szCs w:val="24"/>
        </w:rPr>
      </w:pPr>
    </w:p>
    <w:p w14:paraId="3F7D80AE" w14:textId="4CBE5CDD" w:rsidR="00921611" w:rsidRPr="00604744" w:rsidRDefault="00921611" w:rsidP="00604744">
      <w:pPr>
        <w:jc w:val="both"/>
        <w:rPr>
          <w:rFonts w:ascii="Times New Roman" w:hAnsi="Times New Roman" w:cs="Times New Roman"/>
          <w:sz w:val="24"/>
          <w:szCs w:val="24"/>
        </w:rPr>
      </w:pPr>
    </w:p>
    <w:p w14:paraId="3DFD7954" w14:textId="40246CB3" w:rsidR="00921611" w:rsidRPr="00604744" w:rsidRDefault="00921611" w:rsidP="00604744">
      <w:pPr>
        <w:jc w:val="both"/>
        <w:rPr>
          <w:rFonts w:ascii="Times New Roman" w:hAnsi="Times New Roman" w:cs="Times New Roman"/>
          <w:sz w:val="24"/>
          <w:szCs w:val="24"/>
        </w:rPr>
      </w:pPr>
    </w:p>
    <w:p w14:paraId="506AD90E" w14:textId="2E15D99C" w:rsidR="00921611" w:rsidRPr="00604744" w:rsidRDefault="00921611" w:rsidP="00604744">
      <w:pPr>
        <w:jc w:val="both"/>
        <w:rPr>
          <w:rFonts w:ascii="Times New Roman" w:hAnsi="Times New Roman" w:cs="Times New Roman"/>
          <w:sz w:val="24"/>
          <w:szCs w:val="24"/>
        </w:rPr>
      </w:pPr>
    </w:p>
    <w:p w14:paraId="174A0240" w14:textId="0D451D28" w:rsidR="00921611" w:rsidRPr="00604744" w:rsidRDefault="00921611" w:rsidP="00604744">
      <w:pPr>
        <w:jc w:val="both"/>
        <w:rPr>
          <w:rFonts w:ascii="Times New Roman" w:hAnsi="Times New Roman" w:cs="Times New Roman"/>
          <w:sz w:val="24"/>
          <w:szCs w:val="24"/>
        </w:rPr>
      </w:pPr>
    </w:p>
    <w:p w14:paraId="2F7C3B15" w14:textId="4BF36D45" w:rsidR="00921611" w:rsidRPr="00604744" w:rsidRDefault="00921611" w:rsidP="00604744">
      <w:pPr>
        <w:jc w:val="both"/>
        <w:rPr>
          <w:rFonts w:ascii="Times New Roman" w:hAnsi="Times New Roman" w:cs="Times New Roman"/>
          <w:sz w:val="24"/>
          <w:szCs w:val="24"/>
        </w:rPr>
      </w:pPr>
    </w:p>
    <w:p w14:paraId="54B3C555" w14:textId="3CD69AD3" w:rsidR="00921611" w:rsidRDefault="00921611" w:rsidP="00604744">
      <w:pPr>
        <w:jc w:val="both"/>
        <w:rPr>
          <w:rFonts w:ascii="Times New Roman" w:hAnsi="Times New Roman" w:cs="Times New Roman"/>
          <w:sz w:val="24"/>
          <w:szCs w:val="24"/>
        </w:rPr>
      </w:pPr>
    </w:p>
    <w:p w14:paraId="0FFE6074" w14:textId="77777777" w:rsidR="006E77DF" w:rsidRPr="00604744" w:rsidRDefault="006E77DF" w:rsidP="00604744">
      <w:pPr>
        <w:jc w:val="both"/>
        <w:rPr>
          <w:rFonts w:ascii="Times New Roman" w:hAnsi="Times New Roman" w:cs="Times New Roman"/>
          <w:sz w:val="24"/>
          <w:szCs w:val="24"/>
        </w:rPr>
      </w:pPr>
    </w:p>
    <w:p w14:paraId="40A2EA20" w14:textId="77777777" w:rsidR="00DB1C37" w:rsidRPr="00604744" w:rsidRDefault="00DB1C37" w:rsidP="00604744">
      <w:pPr>
        <w:jc w:val="both"/>
        <w:rPr>
          <w:rFonts w:ascii="Times New Roman" w:hAnsi="Times New Roman" w:cs="Times New Roman"/>
          <w:sz w:val="24"/>
          <w:szCs w:val="24"/>
        </w:rPr>
      </w:pPr>
    </w:p>
    <w:p w14:paraId="1CD185C4" w14:textId="5D3FC4E4" w:rsidR="0067640B" w:rsidRDefault="0067640B" w:rsidP="0067640B">
      <w:pPr>
        <w:pStyle w:val="Paragrafoelenco"/>
        <w:numPr>
          <w:ilvl w:val="0"/>
          <w:numId w:val="5"/>
        </w:numPr>
        <w:rPr>
          <w:rFonts w:ascii="Times New Roman" w:hAnsi="Times New Roman" w:cs="Times New Roman"/>
          <w:sz w:val="24"/>
          <w:szCs w:val="24"/>
          <w:lang w:val="en-AU"/>
        </w:rPr>
      </w:pPr>
      <w:r w:rsidRPr="00BD5FAD">
        <w:rPr>
          <w:rFonts w:ascii="Times New Roman" w:hAnsi="Times New Roman" w:cs="Times New Roman"/>
          <w:sz w:val="24"/>
          <w:szCs w:val="24"/>
        </w:rPr>
        <w:lastRenderedPageBreak/>
        <w:t xml:space="preserve"> </w:t>
      </w:r>
      <w:r w:rsidRPr="00597424">
        <w:rPr>
          <w:rFonts w:ascii="Times New Roman" w:hAnsi="Times New Roman" w:cs="Times New Roman"/>
          <w:sz w:val="24"/>
          <w:szCs w:val="24"/>
        </w:rPr>
        <w:t xml:space="preserve"> </w:t>
      </w:r>
      <w:r w:rsidRPr="0067640B">
        <w:rPr>
          <w:rFonts w:ascii="Times New Roman" w:hAnsi="Times New Roman" w:cs="Times New Roman"/>
          <w:sz w:val="24"/>
          <w:szCs w:val="24"/>
          <w:lang w:val="en-AU"/>
        </w:rPr>
        <w:t>Osteotomy around the knee, la scuola italiana</w:t>
      </w:r>
    </w:p>
    <w:p w14:paraId="077B3714" w14:textId="171C1575" w:rsidR="004524D1" w:rsidRDefault="004524D1" w:rsidP="006E77DF">
      <w:pPr>
        <w:jc w:val="both"/>
        <w:rPr>
          <w:rFonts w:ascii="Times New Roman" w:hAnsi="Times New Roman" w:cs="Times New Roman"/>
          <w:sz w:val="24"/>
          <w:szCs w:val="24"/>
          <w:lang w:val="en-AU"/>
        </w:rPr>
      </w:pPr>
    </w:p>
    <w:p w14:paraId="4FC8B644" w14:textId="53D31380" w:rsidR="00B921C4" w:rsidRPr="00BD5FAD" w:rsidRDefault="004524D1" w:rsidP="006E77DF">
      <w:pPr>
        <w:jc w:val="both"/>
        <w:rPr>
          <w:rFonts w:ascii="Times New Roman" w:hAnsi="Times New Roman" w:cs="Times New Roman"/>
          <w:sz w:val="24"/>
          <w:szCs w:val="24"/>
        </w:rPr>
      </w:pPr>
      <w:r w:rsidRPr="006E77DF">
        <w:rPr>
          <w:rFonts w:ascii="Times New Roman" w:hAnsi="Times New Roman" w:cs="Times New Roman"/>
          <w:sz w:val="24"/>
          <w:szCs w:val="24"/>
        </w:rPr>
        <w:t xml:space="preserve">Vittorio </w:t>
      </w:r>
      <w:r w:rsidR="006E77DF" w:rsidRPr="006E77DF">
        <w:rPr>
          <w:rFonts w:ascii="Times New Roman" w:hAnsi="Times New Roman" w:cs="Times New Roman"/>
          <w:sz w:val="24"/>
          <w:szCs w:val="24"/>
        </w:rPr>
        <w:t>Franco, Guglielmo</w:t>
      </w:r>
      <w:r w:rsidRPr="006E77DF">
        <w:rPr>
          <w:rFonts w:ascii="Times New Roman" w:hAnsi="Times New Roman" w:cs="Times New Roman"/>
          <w:sz w:val="24"/>
          <w:szCs w:val="24"/>
        </w:rPr>
        <w:t xml:space="preserve"> Cerullo, Massimo Cipolla, Enrico Gianni, Giancarlo Puddu</w:t>
      </w:r>
      <w:r w:rsidR="006E77DF" w:rsidRPr="006E77DF">
        <w:rPr>
          <w:rFonts w:ascii="Times New Roman" w:hAnsi="Times New Roman" w:cs="Times New Roman"/>
          <w:sz w:val="24"/>
          <w:szCs w:val="24"/>
        </w:rPr>
        <w:t xml:space="preserve"> “</w:t>
      </w:r>
      <w:r w:rsidRPr="006E77DF">
        <w:rPr>
          <w:rFonts w:ascii="Times New Roman" w:hAnsi="Times New Roman" w:cs="Times New Roman"/>
          <w:sz w:val="24"/>
          <w:szCs w:val="24"/>
        </w:rPr>
        <w:t xml:space="preserve">Osteotomy for osteoarthritis of the </w:t>
      </w:r>
      <w:r w:rsidR="006E77DF" w:rsidRPr="006E77DF">
        <w:rPr>
          <w:rFonts w:ascii="Times New Roman" w:hAnsi="Times New Roman" w:cs="Times New Roman"/>
          <w:sz w:val="24"/>
          <w:szCs w:val="24"/>
        </w:rPr>
        <w:t>knee” Current</w:t>
      </w:r>
      <w:r w:rsidR="00B921C4" w:rsidRPr="006E77DF">
        <w:rPr>
          <w:rFonts w:ascii="Times New Roman" w:hAnsi="Times New Roman" w:cs="Times New Roman"/>
          <w:sz w:val="24"/>
          <w:szCs w:val="24"/>
        </w:rPr>
        <w:t xml:space="preserve"> Orthopaedics (2005) 19, 415–427</w:t>
      </w:r>
      <w:r w:rsidR="006E77DF">
        <w:rPr>
          <w:rFonts w:ascii="Times New Roman" w:hAnsi="Times New Roman" w:cs="Times New Roman"/>
          <w:sz w:val="24"/>
          <w:szCs w:val="24"/>
        </w:rPr>
        <w:t xml:space="preserve"> </w:t>
      </w:r>
      <w:r w:rsidR="006E77DF" w:rsidRPr="00BD5FAD">
        <w:rPr>
          <w:rFonts w:ascii="Times New Roman" w:hAnsi="Times New Roman" w:cs="Times New Roman"/>
          <w:sz w:val="24"/>
          <w:szCs w:val="24"/>
        </w:rPr>
        <w:t>doi: 10.1016/j.cuor</w:t>
      </w:r>
      <w:r w:rsidR="00B921C4" w:rsidRPr="00BD5FAD">
        <w:rPr>
          <w:rFonts w:ascii="Times New Roman" w:hAnsi="Times New Roman" w:cs="Times New Roman"/>
          <w:sz w:val="24"/>
          <w:szCs w:val="24"/>
        </w:rPr>
        <w:t>.2005.10.008</w:t>
      </w:r>
    </w:p>
    <w:p w14:paraId="2A0A9D27" w14:textId="5052BFA5" w:rsidR="006368EA" w:rsidRPr="00BD5FAD" w:rsidRDefault="006368EA" w:rsidP="00461C9E">
      <w:pPr>
        <w:jc w:val="both"/>
        <w:rPr>
          <w:rFonts w:ascii="Times New Roman" w:hAnsi="Times New Roman" w:cs="Times New Roman"/>
          <w:sz w:val="24"/>
          <w:szCs w:val="24"/>
        </w:rPr>
      </w:pPr>
    </w:p>
    <w:p w14:paraId="118EEB18" w14:textId="32DDBC81" w:rsidR="004524D1" w:rsidRPr="00BD5FAD" w:rsidRDefault="004524D1" w:rsidP="0067640B">
      <w:pPr>
        <w:pStyle w:val="Paragrafoelenco"/>
        <w:jc w:val="both"/>
        <w:rPr>
          <w:rFonts w:ascii="Times New Roman" w:hAnsi="Times New Roman" w:cs="Times New Roman"/>
          <w:sz w:val="24"/>
          <w:szCs w:val="24"/>
        </w:rPr>
      </w:pPr>
    </w:p>
    <w:p w14:paraId="7F9570F5" w14:textId="30795636" w:rsidR="004524D1" w:rsidRDefault="004524D1" w:rsidP="0067640B">
      <w:pPr>
        <w:pStyle w:val="Paragrafoelenco"/>
        <w:jc w:val="both"/>
        <w:rPr>
          <w:rFonts w:ascii="Times New Roman" w:hAnsi="Times New Roman" w:cs="Times New Roman"/>
          <w:sz w:val="24"/>
          <w:szCs w:val="24"/>
        </w:rPr>
      </w:pPr>
      <w:r w:rsidRPr="004524D1">
        <w:rPr>
          <w:rFonts w:ascii="Times New Roman" w:hAnsi="Times New Roman" w:cs="Times New Roman"/>
          <w:sz w:val="24"/>
          <w:szCs w:val="24"/>
        </w:rPr>
        <w:t>Un doveroso tributo a c</w:t>
      </w:r>
      <w:r>
        <w:rPr>
          <w:rFonts w:ascii="Times New Roman" w:hAnsi="Times New Roman" w:cs="Times New Roman"/>
          <w:sz w:val="24"/>
          <w:szCs w:val="24"/>
        </w:rPr>
        <w:t xml:space="preserve">hi ha riportato in auge le osteotomie di ginocchio. </w:t>
      </w:r>
      <w:r w:rsidRPr="004524D1">
        <w:rPr>
          <w:rFonts w:ascii="Times New Roman" w:hAnsi="Times New Roman" w:cs="Times New Roman"/>
          <w:sz w:val="24"/>
          <w:szCs w:val="24"/>
        </w:rPr>
        <w:t>La scuola italiana vede in Giancarlo Puddu uno dei f</w:t>
      </w:r>
      <w:r>
        <w:rPr>
          <w:rFonts w:ascii="Times New Roman" w:hAnsi="Times New Roman" w:cs="Times New Roman"/>
          <w:sz w:val="24"/>
          <w:szCs w:val="24"/>
        </w:rPr>
        <w:t xml:space="preserve">ondatori della tecnica osteotomica moderna del ginocchio, ideando tecniche, strumentari e materiali dedicati. </w:t>
      </w:r>
      <w:r w:rsidR="00461C9E">
        <w:rPr>
          <w:rFonts w:ascii="Times New Roman" w:hAnsi="Times New Roman" w:cs="Times New Roman"/>
          <w:sz w:val="24"/>
          <w:szCs w:val="24"/>
        </w:rPr>
        <w:t xml:space="preserve">Di grande importanza la tecnica in apertura tibiale, un nuovo concetto </w:t>
      </w:r>
      <w:r w:rsidR="00B921C4">
        <w:rPr>
          <w:rFonts w:ascii="Times New Roman" w:hAnsi="Times New Roman" w:cs="Times New Roman"/>
          <w:sz w:val="24"/>
          <w:szCs w:val="24"/>
        </w:rPr>
        <w:t>che protegge</w:t>
      </w:r>
      <w:r w:rsidR="00461C9E">
        <w:rPr>
          <w:rFonts w:ascii="Times New Roman" w:hAnsi="Times New Roman" w:cs="Times New Roman"/>
          <w:sz w:val="24"/>
          <w:szCs w:val="24"/>
        </w:rPr>
        <w:t xml:space="preserve"> il comparto muscolare esterno, riduce il rischio di </w:t>
      </w:r>
      <w:r w:rsidR="00B921C4">
        <w:rPr>
          <w:rFonts w:ascii="Times New Roman" w:hAnsi="Times New Roman" w:cs="Times New Roman"/>
          <w:sz w:val="24"/>
          <w:szCs w:val="24"/>
        </w:rPr>
        <w:t>complicanze vascolo</w:t>
      </w:r>
      <w:r w:rsidR="00461C9E">
        <w:rPr>
          <w:rFonts w:ascii="Times New Roman" w:hAnsi="Times New Roman" w:cs="Times New Roman"/>
          <w:sz w:val="24"/>
          <w:szCs w:val="24"/>
        </w:rPr>
        <w:t xml:space="preserve">-nervose e non riduce il bone stock tibiale in previsione di una sostituzione </w:t>
      </w:r>
      <w:r w:rsidR="00B921C4">
        <w:rPr>
          <w:rFonts w:ascii="Times New Roman" w:hAnsi="Times New Roman" w:cs="Times New Roman"/>
          <w:sz w:val="24"/>
          <w:szCs w:val="24"/>
        </w:rPr>
        <w:t>protesica.</w:t>
      </w:r>
    </w:p>
    <w:p w14:paraId="27B8CAA3" w14:textId="043E9A80" w:rsidR="00461C9E" w:rsidRPr="00461C9E" w:rsidRDefault="00461C9E" w:rsidP="0067640B">
      <w:pPr>
        <w:pStyle w:val="Paragrafoelenco"/>
        <w:jc w:val="both"/>
        <w:rPr>
          <w:rFonts w:ascii="Times New Roman" w:hAnsi="Times New Roman" w:cs="Times New Roman"/>
          <w:sz w:val="24"/>
          <w:szCs w:val="24"/>
        </w:rPr>
      </w:pPr>
      <w:r>
        <w:rPr>
          <w:rFonts w:ascii="Times New Roman" w:hAnsi="Times New Roman" w:cs="Times New Roman"/>
          <w:sz w:val="24"/>
          <w:szCs w:val="24"/>
        </w:rPr>
        <w:t xml:space="preserve"> </w:t>
      </w:r>
    </w:p>
    <w:p w14:paraId="1E5A09C2" w14:textId="5C422EEE" w:rsidR="006368EA" w:rsidRDefault="004524D1" w:rsidP="004524D1">
      <w:pPr>
        <w:jc w:val="both"/>
        <w:rPr>
          <w:rFonts w:ascii="Times New Roman" w:hAnsi="Times New Roman" w:cs="Times New Roman"/>
          <w:sz w:val="24"/>
          <w:szCs w:val="24"/>
          <w:lang w:val="en-AU"/>
        </w:rPr>
      </w:pPr>
      <w:r w:rsidRPr="00461C9E">
        <w:rPr>
          <w:rFonts w:ascii="Times New Roman" w:hAnsi="Times New Roman" w:cs="Times New Roman"/>
          <w:sz w:val="24"/>
          <w:szCs w:val="24"/>
        </w:rPr>
        <w:t xml:space="preserve"> </w:t>
      </w:r>
      <w:r w:rsidRPr="004524D1">
        <w:rPr>
          <w:rFonts w:ascii="Times New Roman" w:hAnsi="Times New Roman" w:cs="Times New Roman"/>
          <w:sz w:val="24"/>
          <w:szCs w:val="24"/>
          <w:lang w:val="en-AU"/>
        </w:rPr>
        <w:t>Osteotomy is a classic operation in the treatment of uni-compartimental</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osteoarthrosis of the knee. In the modern context it is used to correct initial</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varus, or valgus, deformity before slight chondral damages advance to become</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progressive irreversible articular disease. It has been presented as an alternative to</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prosthetic joint replacement, but the indications depend on the stage and articular</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spread of degenerative changes and on the patient’s general state. Indications for</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surgery are very different, in most of the cases, from the indications for uni or total</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knee replacement.</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Since the early nineties we have practiced a modern and relatively new technique</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in performing knee osteotomies based on a special dedicated system of instruments</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 xml:space="preserve">and plates. This opening wedge technique, when compared to Coventry’s </w:t>
      </w:r>
      <w:r>
        <w:rPr>
          <w:rFonts w:ascii="Times New Roman" w:hAnsi="Times New Roman" w:cs="Times New Roman"/>
          <w:sz w:val="24"/>
          <w:szCs w:val="24"/>
          <w:lang w:val="en-AU"/>
        </w:rPr>
        <w:t>antiv</w:t>
      </w:r>
      <w:r w:rsidR="00461C9E">
        <w:rPr>
          <w:rFonts w:ascii="Times New Roman" w:hAnsi="Times New Roman" w:cs="Times New Roman"/>
          <w:sz w:val="24"/>
          <w:szCs w:val="24"/>
          <w:lang w:val="en-AU"/>
        </w:rPr>
        <w:t>a</w:t>
      </w:r>
      <w:r>
        <w:rPr>
          <w:rFonts w:ascii="Times New Roman" w:hAnsi="Times New Roman" w:cs="Times New Roman"/>
          <w:sz w:val="24"/>
          <w:szCs w:val="24"/>
          <w:lang w:val="en-AU"/>
        </w:rPr>
        <w:t xml:space="preserve">rus </w:t>
      </w:r>
      <w:r w:rsidRPr="004524D1">
        <w:rPr>
          <w:rFonts w:ascii="Times New Roman" w:hAnsi="Times New Roman" w:cs="Times New Roman"/>
          <w:sz w:val="24"/>
          <w:szCs w:val="24"/>
          <w:lang w:val="en-AU"/>
        </w:rPr>
        <w:t>closing wedge osteotomy, inverts the method of correction, adding the wedge</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medially instead of removing it laterally; in case of valgus deformity osteotomy is</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carried out on the femoral side with a lateral opening wedge. Operative techniques</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of high tibial osteotomy and osteotomy of the distal femur will be illustrated</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with particular attention to all details of the two operations in ‘step by step’</w:t>
      </w:r>
      <w:r>
        <w:rPr>
          <w:rFonts w:ascii="Times New Roman" w:hAnsi="Times New Roman" w:cs="Times New Roman"/>
          <w:sz w:val="24"/>
          <w:szCs w:val="24"/>
          <w:lang w:val="en-AU"/>
        </w:rPr>
        <w:t xml:space="preserve"> </w:t>
      </w:r>
      <w:r w:rsidRPr="004524D1">
        <w:rPr>
          <w:rFonts w:ascii="Times New Roman" w:hAnsi="Times New Roman" w:cs="Times New Roman"/>
          <w:sz w:val="24"/>
          <w:szCs w:val="24"/>
          <w:lang w:val="en-AU"/>
        </w:rPr>
        <w:t>descriptions.</w:t>
      </w:r>
    </w:p>
    <w:p w14:paraId="720F5678" w14:textId="51753D04" w:rsidR="00461C9E" w:rsidRDefault="00461C9E" w:rsidP="004524D1">
      <w:pPr>
        <w:jc w:val="both"/>
        <w:rPr>
          <w:rFonts w:ascii="Times New Roman" w:hAnsi="Times New Roman" w:cs="Times New Roman"/>
          <w:sz w:val="24"/>
          <w:szCs w:val="24"/>
          <w:lang w:val="en-AU"/>
        </w:rPr>
      </w:pPr>
    </w:p>
    <w:p w14:paraId="19B2B35F" w14:textId="509F6B78" w:rsidR="00461C9E" w:rsidRPr="00461C9E" w:rsidRDefault="00461C9E" w:rsidP="00B43F0D">
      <w:pPr>
        <w:jc w:val="center"/>
        <w:rPr>
          <w:rFonts w:ascii="Times New Roman" w:hAnsi="Times New Roman" w:cs="Times New Roman"/>
          <w:sz w:val="24"/>
          <w:szCs w:val="24"/>
        </w:rPr>
      </w:pPr>
      <w:r w:rsidRPr="00461C9E">
        <w:rPr>
          <w:rFonts w:ascii="Times New Roman" w:hAnsi="Times New Roman" w:cs="Times New Roman"/>
          <w:sz w:val="24"/>
          <w:szCs w:val="24"/>
        </w:rPr>
        <w:t>A</w:t>
      </w:r>
      <w:r w:rsidRPr="00461C9E">
        <w:rPr>
          <w:rFonts w:ascii="Times New Roman" w:hAnsi="Times New Roman" w:cs="Times New Roman"/>
          <w:noProof/>
          <w:sz w:val="24"/>
          <w:szCs w:val="24"/>
          <w:lang w:val="en-AU"/>
        </w:rPr>
        <w:drawing>
          <wp:inline distT="0" distB="0" distL="0" distR="0" wp14:anchorId="0918651D" wp14:editId="66DBE700">
            <wp:extent cx="1254584" cy="1666023"/>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7743" cy="1683497"/>
                    </a:xfrm>
                    <a:prstGeom prst="rect">
                      <a:avLst/>
                    </a:prstGeom>
                    <a:noFill/>
                    <a:ln>
                      <a:noFill/>
                    </a:ln>
                  </pic:spPr>
                </pic:pic>
              </a:graphicData>
            </a:graphic>
          </wp:inline>
        </w:drawing>
      </w:r>
      <w:r w:rsidRPr="00461C9E">
        <w:rPr>
          <w:rFonts w:ascii="Times New Roman" w:hAnsi="Times New Roman" w:cs="Times New Roman"/>
          <w:sz w:val="24"/>
          <w:szCs w:val="24"/>
        </w:rPr>
        <w:t xml:space="preserve">B </w:t>
      </w:r>
      <w:r w:rsidRPr="00461C9E">
        <w:rPr>
          <w:rFonts w:ascii="Times New Roman" w:hAnsi="Times New Roman" w:cs="Times New Roman"/>
          <w:noProof/>
          <w:sz w:val="24"/>
          <w:szCs w:val="24"/>
          <w:lang w:val="en-AU"/>
        </w:rPr>
        <w:drawing>
          <wp:inline distT="0" distB="0" distL="0" distR="0" wp14:anchorId="3F332A79" wp14:editId="622578D3">
            <wp:extent cx="2095500" cy="166556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1890" cy="1670646"/>
                    </a:xfrm>
                    <a:prstGeom prst="rect">
                      <a:avLst/>
                    </a:prstGeom>
                    <a:noFill/>
                    <a:ln>
                      <a:noFill/>
                    </a:ln>
                  </pic:spPr>
                </pic:pic>
              </a:graphicData>
            </a:graphic>
          </wp:inline>
        </w:drawing>
      </w:r>
    </w:p>
    <w:p w14:paraId="53B37DA5" w14:textId="77981315" w:rsidR="006368EA" w:rsidRPr="00461C9E" w:rsidRDefault="006368EA" w:rsidP="006368EA">
      <w:pPr>
        <w:jc w:val="both"/>
        <w:rPr>
          <w:rFonts w:ascii="Times New Roman" w:hAnsi="Times New Roman" w:cs="Times New Roman"/>
          <w:sz w:val="24"/>
          <w:szCs w:val="24"/>
        </w:rPr>
      </w:pPr>
    </w:p>
    <w:p w14:paraId="2EBC38DA" w14:textId="63A00B10" w:rsidR="006368EA" w:rsidRDefault="00461C9E" w:rsidP="00604744">
      <w:pPr>
        <w:jc w:val="both"/>
        <w:rPr>
          <w:rFonts w:ascii="Times New Roman" w:hAnsi="Times New Roman" w:cs="Times New Roman"/>
          <w:sz w:val="24"/>
          <w:szCs w:val="24"/>
        </w:rPr>
      </w:pPr>
      <w:r w:rsidRPr="00461C9E">
        <w:rPr>
          <w:rFonts w:ascii="Times New Roman" w:hAnsi="Times New Roman" w:cs="Times New Roman"/>
          <w:sz w:val="24"/>
          <w:szCs w:val="24"/>
        </w:rPr>
        <w:t>A: riallineamento i</w:t>
      </w:r>
      <w:r>
        <w:rPr>
          <w:rFonts w:ascii="Times New Roman" w:hAnsi="Times New Roman" w:cs="Times New Roman"/>
          <w:sz w:val="24"/>
          <w:szCs w:val="24"/>
        </w:rPr>
        <w:t>n osteotomia valgizzante in apertura tibiale ginocchio sx, B: Osteotomia varizzante femorale in apertura</w:t>
      </w:r>
    </w:p>
    <w:p w14:paraId="0DD53E6E" w14:textId="48C8BEBA" w:rsidR="006E77DF" w:rsidRDefault="006E77DF" w:rsidP="00604744">
      <w:pPr>
        <w:jc w:val="both"/>
        <w:rPr>
          <w:rFonts w:ascii="Times New Roman" w:hAnsi="Times New Roman" w:cs="Times New Roman"/>
          <w:sz w:val="24"/>
          <w:szCs w:val="24"/>
        </w:rPr>
      </w:pPr>
    </w:p>
    <w:p w14:paraId="5849CB52" w14:textId="77777777" w:rsidR="006E77DF" w:rsidRPr="00461C9E" w:rsidRDefault="006E77DF" w:rsidP="00604744">
      <w:pPr>
        <w:jc w:val="both"/>
        <w:rPr>
          <w:rFonts w:ascii="Times New Roman" w:hAnsi="Times New Roman" w:cs="Times New Roman"/>
          <w:sz w:val="24"/>
          <w:szCs w:val="24"/>
        </w:rPr>
      </w:pPr>
    </w:p>
    <w:p w14:paraId="102ACEBE" w14:textId="02A8226F" w:rsidR="0067640B" w:rsidRPr="0067640B" w:rsidRDefault="00BD5FAD" w:rsidP="0067640B">
      <w:pPr>
        <w:pStyle w:val="Paragrafoelenco"/>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L’indicazione</w:t>
      </w:r>
      <w:r w:rsidR="0067640B">
        <w:rPr>
          <w:rFonts w:ascii="Times New Roman" w:hAnsi="Times New Roman" w:cs="Times New Roman"/>
          <w:sz w:val="24"/>
          <w:szCs w:val="24"/>
        </w:rPr>
        <w:t xml:space="preserve"> </w:t>
      </w:r>
      <w:r>
        <w:rPr>
          <w:rFonts w:ascii="Times New Roman" w:hAnsi="Times New Roman" w:cs="Times New Roman"/>
          <w:sz w:val="24"/>
          <w:szCs w:val="24"/>
        </w:rPr>
        <w:t>all’osteotomia</w:t>
      </w:r>
      <w:r w:rsidR="0067640B">
        <w:rPr>
          <w:rFonts w:ascii="Times New Roman" w:hAnsi="Times New Roman" w:cs="Times New Roman"/>
          <w:sz w:val="24"/>
          <w:szCs w:val="24"/>
        </w:rPr>
        <w:t>, semplicemente.</w:t>
      </w:r>
    </w:p>
    <w:p w14:paraId="0C23F373" w14:textId="77777777" w:rsidR="0067640B" w:rsidRPr="0067640B" w:rsidRDefault="0067640B" w:rsidP="0067640B">
      <w:pPr>
        <w:pStyle w:val="Paragrafoelenco"/>
        <w:jc w:val="both"/>
        <w:rPr>
          <w:rFonts w:ascii="Times New Roman" w:hAnsi="Times New Roman" w:cs="Times New Roman"/>
          <w:sz w:val="24"/>
          <w:szCs w:val="24"/>
        </w:rPr>
      </w:pPr>
    </w:p>
    <w:p w14:paraId="6700F3BE" w14:textId="1E7C4AC2" w:rsidR="00921611" w:rsidRPr="0067640B" w:rsidRDefault="00885C45" w:rsidP="0067640B">
      <w:pPr>
        <w:ind w:left="360"/>
        <w:jc w:val="both"/>
        <w:rPr>
          <w:rFonts w:ascii="Times New Roman" w:hAnsi="Times New Roman" w:cs="Times New Roman"/>
          <w:sz w:val="24"/>
          <w:szCs w:val="24"/>
          <w:lang w:val="en-AU"/>
        </w:rPr>
      </w:pPr>
      <w:r w:rsidRPr="0067640B">
        <w:rPr>
          <w:rFonts w:ascii="Times New Roman" w:hAnsi="Times New Roman" w:cs="Times New Roman"/>
          <w:sz w:val="24"/>
          <w:szCs w:val="24"/>
          <w:lang w:val="en-AU"/>
        </w:rPr>
        <w:t xml:space="preserve">Philipp </w:t>
      </w:r>
      <w:proofErr w:type="gramStart"/>
      <w:r w:rsidRPr="0067640B">
        <w:rPr>
          <w:rFonts w:ascii="Times New Roman" w:hAnsi="Times New Roman" w:cs="Times New Roman"/>
          <w:sz w:val="24"/>
          <w:szCs w:val="24"/>
          <w:lang w:val="en-AU"/>
        </w:rPr>
        <w:t xml:space="preserve">Lobenhoffer  </w:t>
      </w:r>
      <w:r w:rsidR="00BD5FAD">
        <w:rPr>
          <w:rFonts w:ascii="Times New Roman" w:hAnsi="Times New Roman" w:cs="Times New Roman"/>
          <w:sz w:val="24"/>
          <w:szCs w:val="24"/>
          <w:lang w:val="en-AU"/>
        </w:rPr>
        <w:t>“</w:t>
      </w:r>
      <w:proofErr w:type="gramEnd"/>
      <w:r w:rsidRPr="0067640B">
        <w:rPr>
          <w:rFonts w:ascii="Times New Roman" w:hAnsi="Times New Roman" w:cs="Times New Roman"/>
          <w:sz w:val="24"/>
          <w:szCs w:val="24"/>
          <w:lang w:val="en-AU"/>
        </w:rPr>
        <w:t>Indication for Unicompartmental Knee Replacement versus Osteotomy around the Knee</w:t>
      </w:r>
      <w:r w:rsidR="00BD5FAD">
        <w:rPr>
          <w:rFonts w:ascii="Times New Roman" w:hAnsi="Times New Roman" w:cs="Times New Roman"/>
          <w:sz w:val="24"/>
          <w:szCs w:val="24"/>
          <w:lang w:val="en-AU"/>
        </w:rPr>
        <w:t>”</w:t>
      </w:r>
      <w:r w:rsidRPr="0067640B">
        <w:rPr>
          <w:rFonts w:ascii="Times New Roman" w:hAnsi="Times New Roman" w:cs="Times New Roman"/>
          <w:sz w:val="24"/>
          <w:szCs w:val="24"/>
          <w:lang w:val="en-AU"/>
        </w:rPr>
        <w:t xml:space="preserve"> J Knee Surg 2017;30:769–773.</w:t>
      </w:r>
    </w:p>
    <w:p w14:paraId="13D0BFD2" w14:textId="77777777" w:rsidR="00885C45" w:rsidRPr="00604744" w:rsidRDefault="00885C45" w:rsidP="00604744">
      <w:pPr>
        <w:jc w:val="both"/>
        <w:rPr>
          <w:rFonts w:ascii="Times New Roman" w:hAnsi="Times New Roman" w:cs="Times New Roman"/>
          <w:sz w:val="24"/>
          <w:szCs w:val="24"/>
          <w:lang w:val="en-AU"/>
        </w:rPr>
      </w:pPr>
    </w:p>
    <w:p w14:paraId="6231A77F" w14:textId="56CD7184" w:rsidR="00921611" w:rsidRDefault="00885C45" w:rsidP="00604744">
      <w:pPr>
        <w:jc w:val="both"/>
        <w:rPr>
          <w:rFonts w:ascii="Times New Roman" w:hAnsi="Times New Roman" w:cs="Times New Roman"/>
          <w:sz w:val="24"/>
          <w:szCs w:val="24"/>
        </w:rPr>
      </w:pPr>
      <w:r w:rsidRPr="00604744">
        <w:rPr>
          <w:rFonts w:ascii="Times New Roman" w:hAnsi="Times New Roman" w:cs="Times New Roman"/>
          <w:sz w:val="24"/>
          <w:szCs w:val="24"/>
        </w:rPr>
        <w:t>Le linee guida per le indicazioni all’osteotomia sono descritte da noti chirurghi e riassunte nelle liee guide ISAKOS</w:t>
      </w:r>
      <w:r w:rsidR="00C339D3" w:rsidRPr="00604744">
        <w:rPr>
          <w:rFonts w:ascii="Times New Roman" w:hAnsi="Times New Roman" w:cs="Times New Roman"/>
          <w:sz w:val="24"/>
          <w:szCs w:val="24"/>
        </w:rPr>
        <w:t>.</w:t>
      </w:r>
      <w:r w:rsidRPr="00604744">
        <w:rPr>
          <w:rFonts w:ascii="Times New Roman" w:hAnsi="Times New Roman" w:cs="Times New Roman"/>
          <w:sz w:val="24"/>
          <w:szCs w:val="24"/>
        </w:rPr>
        <w:t xml:space="preserve"> In questo articolo P. Lobenhoffer semplifica le linee guida creando un vero e proprio algoritmo decisional</w:t>
      </w:r>
      <w:r w:rsidR="00C339D3" w:rsidRPr="00604744">
        <w:rPr>
          <w:rFonts w:ascii="Times New Roman" w:hAnsi="Times New Roman" w:cs="Times New Roman"/>
          <w:sz w:val="24"/>
          <w:szCs w:val="24"/>
        </w:rPr>
        <w:t xml:space="preserve">e. La scelta di trattamento dell`artrosi monocompartimentale non e legata   al grado di condropatia, all` </w:t>
      </w:r>
      <w:r w:rsidR="009D3A18" w:rsidRPr="00604744">
        <w:rPr>
          <w:rFonts w:ascii="Times New Roman" w:hAnsi="Times New Roman" w:cs="Times New Roman"/>
          <w:sz w:val="24"/>
          <w:szCs w:val="24"/>
        </w:rPr>
        <w:t>obesità</w:t>
      </w:r>
      <w:r w:rsidR="00C339D3" w:rsidRPr="00604744">
        <w:rPr>
          <w:rFonts w:ascii="Times New Roman" w:hAnsi="Times New Roman" w:cs="Times New Roman"/>
          <w:sz w:val="24"/>
          <w:szCs w:val="24"/>
        </w:rPr>
        <w:t>`,</w:t>
      </w:r>
      <w:r w:rsidR="00C66115" w:rsidRPr="00604744">
        <w:rPr>
          <w:rFonts w:ascii="Times New Roman" w:hAnsi="Times New Roman" w:cs="Times New Roman"/>
          <w:sz w:val="24"/>
          <w:szCs w:val="24"/>
        </w:rPr>
        <w:t xml:space="preserve"> alle</w:t>
      </w:r>
      <w:r w:rsidR="00C339D3" w:rsidRPr="00604744">
        <w:rPr>
          <w:rFonts w:ascii="Times New Roman" w:hAnsi="Times New Roman" w:cs="Times New Roman"/>
          <w:sz w:val="24"/>
          <w:szCs w:val="24"/>
        </w:rPr>
        <w:t xml:space="preserve"> richieste funzionali del paziente, </w:t>
      </w:r>
      <w:r w:rsidR="00C66115" w:rsidRPr="00604744">
        <w:rPr>
          <w:rFonts w:ascii="Times New Roman" w:hAnsi="Times New Roman" w:cs="Times New Roman"/>
          <w:sz w:val="24"/>
          <w:szCs w:val="24"/>
        </w:rPr>
        <w:t xml:space="preserve">all` </w:t>
      </w:r>
      <w:r w:rsidR="00C339D3" w:rsidRPr="00604744">
        <w:rPr>
          <w:rFonts w:ascii="Times New Roman" w:hAnsi="Times New Roman" w:cs="Times New Roman"/>
          <w:sz w:val="24"/>
          <w:szCs w:val="24"/>
        </w:rPr>
        <w:t>eta`</w:t>
      </w:r>
      <w:r w:rsidR="00C66115" w:rsidRPr="00604744">
        <w:rPr>
          <w:rFonts w:ascii="Times New Roman" w:hAnsi="Times New Roman" w:cs="Times New Roman"/>
          <w:sz w:val="24"/>
          <w:szCs w:val="24"/>
        </w:rPr>
        <w:t xml:space="preserve"> </w:t>
      </w:r>
      <w:r w:rsidR="00C339D3" w:rsidRPr="00604744">
        <w:rPr>
          <w:rFonts w:ascii="Times New Roman" w:hAnsi="Times New Roman" w:cs="Times New Roman"/>
          <w:sz w:val="24"/>
          <w:szCs w:val="24"/>
        </w:rPr>
        <w:t>o</w:t>
      </w:r>
      <w:r w:rsidR="00C66115" w:rsidRPr="00604744">
        <w:rPr>
          <w:rFonts w:ascii="Times New Roman" w:hAnsi="Times New Roman" w:cs="Times New Roman"/>
          <w:sz w:val="24"/>
          <w:szCs w:val="24"/>
        </w:rPr>
        <w:t xml:space="preserve"> alla</w:t>
      </w:r>
      <w:r w:rsidR="00C339D3" w:rsidRPr="00604744">
        <w:rPr>
          <w:rFonts w:ascii="Times New Roman" w:hAnsi="Times New Roman" w:cs="Times New Roman"/>
          <w:sz w:val="24"/>
          <w:szCs w:val="24"/>
        </w:rPr>
        <w:t xml:space="preserve"> condropatia della femoro</w:t>
      </w:r>
      <w:r w:rsidR="009D3A18" w:rsidRPr="00604744">
        <w:rPr>
          <w:rFonts w:ascii="Times New Roman" w:hAnsi="Times New Roman" w:cs="Times New Roman"/>
          <w:sz w:val="24"/>
          <w:szCs w:val="24"/>
        </w:rPr>
        <w:t>-r</w:t>
      </w:r>
      <w:r w:rsidR="00C66115" w:rsidRPr="00604744">
        <w:rPr>
          <w:rFonts w:ascii="Times New Roman" w:hAnsi="Times New Roman" w:cs="Times New Roman"/>
          <w:sz w:val="24"/>
          <w:szCs w:val="24"/>
        </w:rPr>
        <w:t>otulea ma</w:t>
      </w:r>
      <w:r w:rsidR="00C339D3" w:rsidRPr="00604744">
        <w:rPr>
          <w:rFonts w:ascii="Times New Roman" w:hAnsi="Times New Roman" w:cs="Times New Roman"/>
          <w:sz w:val="24"/>
          <w:szCs w:val="24"/>
        </w:rPr>
        <w:t xml:space="preserve"> alla valutazione della localizzazione della </w:t>
      </w:r>
      <w:r w:rsidR="009D3A18" w:rsidRPr="00604744">
        <w:rPr>
          <w:rFonts w:ascii="Times New Roman" w:hAnsi="Times New Roman" w:cs="Times New Roman"/>
          <w:sz w:val="24"/>
          <w:szCs w:val="24"/>
        </w:rPr>
        <w:t>deformità</w:t>
      </w:r>
      <w:r w:rsidR="00C339D3" w:rsidRPr="00604744">
        <w:rPr>
          <w:rFonts w:ascii="Times New Roman" w:hAnsi="Times New Roman" w:cs="Times New Roman"/>
          <w:sz w:val="24"/>
          <w:szCs w:val="24"/>
        </w:rPr>
        <w:t xml:space="preserve">`, se </w:t>
      </w:r>
      <w:proofErr w:type="gramStart"/>
      <w:r w:rsidR="00AF224C" w:rsidRPr="00604744">
        <w:rPr>
          <w:rFonts w:ascii="Times New Roman" w:hAnsi="Times New Roman" w:cs="Times New Roman"/>
          <w:sz w:val="24"/>
          <w:szCs w:val="24"/>
        </w:rPr>
        <w:t>int</w:t>
      </w:r>
      <w:r w:rsidR="00AF224C">
        <w:rPr>
          <w:rFonts w:ascii="Times New Roman" w:hAnsi="Times New Roman" w:cs="Times New Roman"/>
          <w:sz w:val="24"/>
          <w:szCs w:val="24"/>
        </w:rPr>
        <w:t>r</w:t>
      </w:r>
      <w:r w:rsidR="00AF224C" w:rsidRPr="00604744">
        <w:rPr>
          <w:rFonts w:ascii="Times New Roman" w:hAnsi="Times New Roman" w:cs="Times New Roman"/>
          <w:sz w:val="24"/>
          <w:szCs w:val="24"/>
        </w:rPr>
        <w:t>articolare</w:t>
      </w:r>
      <w:r w:rsidR="00C339D3" w:rsidRPr="00604744">
        <w:rPr>
          <w:rFonts w:ascii="Times New Roman" w:hAnsi="Times New Roman" w:cs="Times New Roman"/>
          <w:sz w:val="24"/>
          <w:szCs w:val="24"/>
        </w:rPr>
        <w:t xml:space="preserve">  o</w:t>
      </w:r>
      <w:proofErr w:type="gramEnd"/>
      <w:r w:rsidR="00C339D3" w:rsidRPr="00604744">
        <w:rPr>
          <w:rFonts w:ascii="Times New Roman" w:hAnsi="Times New Roman" w:cs="Times New Roman"/>
          <w:sz w:val="24"/>
          <w:szCs w:val="24"/>
        </w:rPr>
        <w:t xml:space="preserve">  extrarticolare.</w:t>
      </w:r>
      <w:r w:rsidR="00C66115" w:rsidRPr="00604744">
        <w:rPr>
          <w:rFonts w:ascii="Times New Roman" w:hAnsi="Times New Roman" w:cs="Times New Roman"/>
          <w:sz w:val="24"/>
          <w:szCs w:val="24"/>
        </w:rPr>
        <w:t xml:space="preserve">   Il trattamento con protesi monocompartimentale ricade nelle </w:t>
      </w:r>
      <w:r w:rsidR="009D3A18" w:rsidRPr="00604744">
        <w:rPr>
          <w:rFonts w:ascii="Times New Roman" w:hAnsi="Times New Roman" w:cs="Times New Roman"/>
          <w:sz w:val="24"/>
          <w:szCs w:val="24"/>
        </w:rPr>
        <w:t>deformità</w:t>
      </w:r>
      <w:r w:rsidR="00C66115" w:rsidRPr="00604744">
        <w:rPr>
          <w:rFonts w:ascii="Times New Roman" w:hAnsi="Times New Roman" w:cs="Times New Roman"/>
          <w:sz w:val="24"/>
          <w:szCs w:val="24"/>
        </w:rPr>
        <w:t xml:space="preserve"> intrarticolari, mentre le deformita` extrarticolari vengono </w:t>
      </w:r>
      <w:r w:rsidR="009D3A18" w:rsidRPr="00604744">
        <w:rPr>
          <w:rFonts w:ascii="Times New Roman" w:hAnsi="Times New Roman" w:cs="Times New Roman"/>
          <w:sz w:val="24"/>
          <w:szCs w:val="24"/>
        </w:rPr>
        <w:t>affrontate</w:t>
      </w:r>
      <w:r w:rsidR="00C66115" w:rsidRPr="00604744">
        <w:rPr>
          <w:rFonts w:ascii="Times New Roman" w:hAnsi="Times New Roman" w:cs="Times New Roman"/>
          <w:sz w:val="24"/>
          <w:szCs w:val="24"/>
        </w:rPr>
        <w:t xml:space="preserve"> con l’osteotomia. Il processo decisionale si basa quindi la misurazione degli angoli.</w:t>
      </w:r>
    </w:p>
    <w:p w14:paraId="517CE1C9" w14:textId="77777777" w:rsidR="0067640B" w:rsidRPr="00604744" w:rsidRDefault="0067640B" w:rsidP="00604744">
      <w:pPr>
        <w:jc w:val="both"/>
        <w:rPr>
          <w:rFonts w:ascii="Times New Roman" w:hAnsi="Times New Roman" w:cs="Times New Roman"/>
          <w:sz w:val="24"/>
          <w:szCs w:val="24"/>
        </w:rPr>
      </w:pPr>
    </w:p>
    <w:p w14:paraId="1B84F69B" w14:textId="77777777" w:rsidR="00177811" w:rsidRDefault="00921611" w:rsidP="00177811">
      <w:pPr>
        <w:jc w:val="both"/>
        <w:rPr>
          <w:rFonts w:ascii="Times New Roman" w:hAnsi="Times New Roman" w:cs="Times New Roman"/>
          <w:sz w:val="24"/>
          <w:szCs w:val="24"/>
          <w:lang w:val="en-AU"/>
        </w:rPr>
      </w:pPr>
      <w:r w:rsidRPr="00604744">
        <w:rPr>
          <w:rFonts w:ascii="Times New Roman" w:hAnsi="Times New Roman" w:cs="Times New Roman"/>
          <w:sz w:val="24"/>
          <w:szCs w:val="24"/>
          <w:lang w:val="en-AU"/>
        </w:rPr>
        <w:t xml:space="preserve">Unicompartmental medial or lateral osteoarthritis of the knee is found in up to 50% </w:t>
      </w:r>
      <w:r w:rsidR="00885C45" w:rsidRPr="00604744">
        <w:rPr>
          <w:rFonts w:ascii="Times New Roman" w:hAnsi="Times New Roman" w:cs="Times New Roman"/>
          <w:sz w:val="24"/>
          <w:szCs w:val="24"/>
          <w:lang w:val="en-AU"/>
        </w:rPr>
        <w:t>of all</w:t>
      </w:r>
      <w:r w:rsidRPr="00604744">
        <w:rPr>
          <w:rFonts w:ascii="Times New Roman" w:hAnsi="Times New Roman" w:cs="Times New Roman"/>
          <w:sz w:val="24"/>
          <w:szCs w:val="24"/>
          <w:lang w:val="en-AU"/>
        </w:rPr>
        <w:t xml:space="preserve"> osteoarthritic patients and may be addressed surgically either by knee osteotomies or unicompartmental replacements. The limits for indicating one procedure or the other are somehow not defined. This article discusses the diagnostic algorithm and the most important decision factors. </w:t>
      </w:r>
    </w:p>
    <w:p w14:paraId="23380040" w14:textId="25D6A779" w:rsidR="00177811" w:rsidRDefault="00921611" w:rsidP="00177811">
      <w:pPr>
        <w:jc w:val="both"/>
        <w:rPr>
          <w:rFonts w:ascii="Times New Roman" w:hAnsi="Times New Roman" w:cs="Times New Roman"/>
          <w:sz w:val="24"/>
          <w:szCs w:val="24"/>
          <w:lang w:val="en-AU"/>
        </w:rPr>
      </w:pPr>
      <w:r w:rsidRPr="00604744">
        <w:rPr>
          <w:rFonts w:ascii="Times New Roman" w:hAnsi="Times New Roman" w:cs="Times New Roman"/>
          <w:sz w:val="24"/>
          <w:szCs w:val="24"/>
          <w:lang w:val="en-AU"/>
        </w:rPr>
        <w:t xml:space="preserve">A long-leg radiograph and formal deformity analysis is mandatory. If constitutional or posttraumatic metaphyseal deformity in the frontal plane is detected and the opposite compartment is intact, an osteotomy should be considered. </w:t>
      </w:r>
      <w:r w:rsidR="00177811" w:rsidRPr="00177811">
        <w:rPr>
          <w:rFonts w:ascii="Times New Roman" w:hAnsi="Times New Roman" w:cs="Times New Roman"/>
          <w:sz w:val="24"/>
          <w:szCs w:val="24"/>
          <w:lang w:val="en-AU"/>
        </w:rPr>
        <w:t>In primary osseous deformity, at least one of the joint angles</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(lateral distal femoral angle [LDFA], medial proximal tibia angle</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[MPTA]) is not in the normal range and the joint line congruence</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angle (JLCA) will be normal in the early stage of</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disease</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intra-articular defect situation, such as full thickness</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cartilage loss, partial or total meniscectomy, or established</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OA. The joint space diminishes, and a secondary deformity</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develops. In this scenario of secondary malalignment, the</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joint angles (LDFA, MPTA)</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will be normal, but the JLCA</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will be</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grossly pathological.</w:t>
      </w:r>
    </w:p>
    <w:p w14:paraId="5F5206B4" w14:textId="77777777" w:rsidR="006357F8" w:rsidRDefault="006357F8" w:rsidP="00B43F0D">
      <w:pPr>
        <w:jc w:val="center"/>
        <w:rPr>
          <w:rFonts w:ascii="Times New Roman" w:hAnsi="Times New Roman" w:cs="Times New Roman"/>
          <w:sz w:val="24"/>
          <w:szCs w:val="24"/>
          <w:lang w:val="en-AU"/>
        </w:rPr>
      </w:pPr>
      <w:r>
        <w:rPr>
          <w:rFonts w:ascii="Times New Roman" w:hAnsi="Times New Roman" w:cs="Times New Roman"/>
          <w:sz w:val="24"/>
          <w:szCs w:val="24"/>
          <w:lang w:val="en-AU"/>
        </w:rPr>
        <w:t xml:space="preserve">Fig. </w:t>
      </w:r>
      <w:r w:rsidR="00177811">
        <w:rPr>
          <w:rFonts w:ascii="Times New Roman" w:hAnsi="Times New Roman" w:cs="Times New Roman"/>
          <w:sz w:val="24"/>
          <w:szCs w:val="24"/>
          <w:lang w:val="en-AU"/>
        </w:rPr>
        <w:t>1</w:t>
      </w:r>
      <w:r w:rsidR="00177811" w:rsidRPr="00177811">
        <w:rPr>
          <w:rFonts w:ascii="Times New Roman" w:hAnsi="Times New Roman" w:cs="Times New Roman"/>
          <w:noProof/>
          <w:sz w:val="24"/>
          <w:szCs w:val="24"/>
          <w:lang w:val="en-AU"/>
        </w:rPr>
        <w:drawing>
          <wp:inline distT="0" distB="0" distL="0" distR="0" wp14:anchorId="4CCC7150" wp14:editId="468EEA0F">
            <wp:extent cx="1568526" cy="18954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299" cy="1904869"/>
                    </a:xfrm>
                    <a:prstGeom prst="rect">
                      <a:avLst/>
                    </a:prstGeom>
                    <a:noFill/>
                    <a:ln>
                      <a:noFill/>
                    </a:ln>
                  </pic:spPr>
                </pic:pic>
              </a:graphicData>
            </a:graphic>
          </wp:inline>
        </w:drawing>
      </w:r>
    </w:p>
    <w:p w14:paraId="08732696" w14:textId="7D3B2CF1" w:rsidR="00177811" w:rsidRDefault="006357F8" w:rsidP="00177811">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 </w:t>
      </w:r>
      <w:r w:rsidR="00177811">
        <w:rPr>
          <w:rFonts w:ascii="Times New Roman" w:hAnsi="Times New Roman" w:cs="Times New Roman"/>
          <w:sz w:val="24"/>
          <w:szCs w:val="24"/>
          <w:lang w:val="en-AU"/>
        </w:rPr>
        <w:t>1:</w:t>
      </w:r>
      <w:r w:rsidR="00177811" w:rsidRPr="00177811">
        <w:rPr>
          <w:lang w:val="en-AU"/>
        </w:rPr>
        <w:t xml:space="preserve"> </w:t>
      </w:r>
      <w:r w:rsidR="00177811" w:rsidRPr="00177811">
        <w:rPr>
          <w:rFonts w:ascii="Times New Roman" w:hAnsi="Times New Roman" w:cs="Times New Roman"/>
          <w:sz w:val="24"/>
          <w:szCs w:val="24"/>
          <w:lang w:val="en-AU"/>
        </w:rPr>
        <w:t>A) Constitutional varus deformity of the proximal tibia,</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located in themetaphyseal area. This very common deformity leads to</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medial osteoarthritis in many patients. (B) The ideal surgical solution</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is open wedge tibial osteotomy. This procedure restores normal</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anatomy of the tibia and the balance of forces. Implantation of a</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unicompartmental knee arthroplasty would not correct the deformity</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and would leave the tibia in varus.</w:t>
      </w:r>
    </w:p>
    <w:p w14:paraId="44DB9DB4" w14:textId="449BFE5E" w:rsidR="00177811" w:rsidRDefault="00177811" w:rsidP="00177811">
      <w:pPr>
        <w:jc w:val="both"/>
        <w:rPr>
          <w:rFonts w:ascii="Times New Roman" w:hAnsi="Times New Roman" w:cs="Times New Roman"/>
          <w:sz w:val="24"/>
          <w:szCs w:val="24"/>
          <w:lang w:val="en-AU"/>
        </w:rPr>
      </w:pPr>
    </w:p>
    <w:p w14:paraId="61545CBB" w14:textId="05EA2C8F" w:rsidR="006357F8" w:rsidRDefault="006357F8" w:rsidP="00B43F0D">
      <w:pPr>
        <w:jc w:val="center"/>
        <w:rPr>
          <w:lang w:val="en-AU"/>
        </w:rPr>
      </w:pPr>
      <w:r>
        <w:rPr>
          <w:rFonts w:ascii="Times New Roman" w:hAnsi="Times New Roman" w:cs="Times New Roman"/>
          <w:sz w:val="24"/>
          <w:szCs w:val="24"/>
          <w:lang w:val="en-AU"/>
        </w:rPr>
        <w:t>Fig.</w:t>
      </w:r>
      <w:r w:rsidR="00177811">
        <w:rPr>
          <w:rFonts w:ascii="Times New Roman" w:hAnsi="Times New Roman" w:cs="Times New Roman"/>
          <w:sz w:val="24"/>
          <w:szCs w:val="24"/>
          <w:lang w:val="en-AU"/>
        </w:rPr>
        <w:t>2</w:t>
      </w:r>
      <w:r w:rsidR="00177811" w:rsidRPr="00177811">
        <w:rPr>
          <w:rFonts w:ascii="Times New Roman" w:hAnsi="Times New Roman" w:cs="Times New Roman"/>
          <w:noProof/>
          <w:sz w:val="24"/>
          <w:szCs w:val="24"/>
          <w:lang w:val="en-AU"/>
        </w:rPr>
        <w:drawing>
          <wp:inline distT="0" distB="0" distL="0" distR="0" wp14:anchorId="0FF3CC8C" wp14:editId="16FAD008">
            <wp:extent cx="1577975" cy="1885658"/>
            <wp:effectExtent l="0" t="0" r="3175"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9839" cy="1899836"/>
                    </a:xfrm>
                    <a:prstGeom prst="rect">
                      <a:avLst/>
                    </a:prstGeom>
                    <a:noFill/>
                    <a:ln>
                      <a:noFill/>
                    </a:ln>
                  </pic:spPr>
                </pic:pic>
              </a:graphicData>
            </a:graphic>
          </wp:inline>
        </w:drawing>
      </w:r>
    </w:p>
    <w:p w14:paraId="0D8983DF" w14:textId="36CBB1A3" w:rsidR="00177811" w:rsidRDefault="006357F8" w:rsidP="00177811">
      <w:pPr>
        <w:jc w:val="both"/>
        <w:rPr>
          <w:rFonts w:ascii="Times New Roman" w:hAnsi="Times New Roman" w:cs="Times New Roman"/>
          <w:sz w:val="24"/>
          <w:szCs w:val="24"/>
          <w:lang w:val="en-AU"/>
        </w:rPr>
      </w:pPr>
      <w:r>
        <w:rPr>
          <w:lang w:val="en-AU"/>
        </w:rPr>
        <w:t xml:space="preserve">Fig 2: </w:t>
      </w:r>
      <w:r w:rsidR="00177811" w:rsidRPr="00177811">
        <w:rPr>
          <w:rFonts w:ascii="Times New Roman" w:hAnsi="Times New Roman" w:cs="Times New Roman"/>
          <w:sz w:val="24"/>
          <w:szCs w:val="24"/>
          <w:lang w:val="en-AU"/>
        </w:rPr>
        <w:t>(A) Substantial arthritic defects may also lead to frontal plane</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malalignment by the collapse of the joint space (secondary varus deformity).</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(B) In the situation of normal bone anatomy, an osteotomy is not</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indicated. The procedure will correct the weight-bearing line but result in a</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grossly abnormal joint angle of the tibia. The resulting shear stress is not</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well tolerated by cartilage, and the osteotomy may fail in a short term.</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Implantation of a unicompartmental knee replacement will result in normal</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anatomy and normal</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balance of forces in this situation, being, therefore, the</w:t>
      </w:r>
      <w:r w:rsidR="00177811">
        <w:rPr>
          <w:rFonts w:ascii="Times New Roman" w:hAnsi="Times New Roman" w:cs="Times New Roman"/>
          <w:sz w:val="24"/>
          <w:szCs w:val="24"/>
          <w:lang w:val="en-AU"/>
        </w:rPr>
        <w:t xml:space="preserve"> </w:t>
      </w:r>
      <w:r w:rsidR="00177811" w:rsidRPr="00177811">
        <w:rPr>
          <w:rFonts w:ascii="Times New Roman" w:hAnsi="Times New Roman" w:cs="Times New Roman"/>
          <w:sz w:val="24"/>
          <w:szCs w:val="24"/>
          <w:lang w:val="en-AU"/>
        </w:rPr>
        <w:t>procedure of choice.</w:t>
      </w:r>
    </w:p>
    <w:p w14:paraId="1CE61C1D" w14:textId="0E6045B5" w:rsidR="00177811" w:rsidRDefault="00177811" w:rsidP="00177811">
      <w:pPr>
        <w:jc w:val="both"/>
        <w:rPr>
          <w:rFonts w:ascii="Times New Roman" w:hAnsi="Times New Roman" w:cs="Times New Roman"/>
          <w:sz w:val="24"/>
          <w:szCs w:val="24"/>
          <w:lang w:val="en-AU"/>
        </w:rPr>
      </w:pPr>
      <w:r w:rsidRPr="00177811">
        <w:rPr>
          <w:rFonts w:ascii="Times New Roman" w:hAnsi="Times New Roman" w:cs="Times New Roman"/>
          <w:sz w:val="24"/>
          <w:szCs w:val="24"/>
          <w:lang w:val="en-AU"/>
        </w:rPr>
        <w:t xml:space="preserve">The ideal patient for osteotomy around the </w:t>
      </w:r>
      <w:r w:rsidR="006357F8" w:rsidRPr="00177811">
        <w:rPr>
          <w:rFonts w:ascii="Times New Roman" w:hAnsi="Times New Roman" w:cs="Times New Roman"/>
          <w:sz w:val="24"/>
          <w:szCs w:val="24"/>
          <w:lang w:val="en-AU"/>
        </w:rPr>
        <w:t>knee</w:t>
      </w:r>
      <w:r w:rsidR="006357F8">
        <w:rPr>
          <w:rFonts w:ascii="Times New Roman" w:hAnsi="Times New Roman" w:cs="Times New Roman"/>
          <w:sz w:val="24"/>
          <w:szCs w:val="24"/>
          <w:lang w:val="en-AU"/>
        </w:rPr>
        <w:t xml:space="preserve"> </w:t>
      </w:r>
      <w:r w:rsidR="006357F8" w:rsidRPr="00177811">
        <w:rPr>
          <w:rFonts w:ascii="Times New Roman" w:hAnsi="Times New Roman" w:cs="Times New Roman"/>
          <w:sz w:val="24"/>
          <w:szCs w:val="24"/>
          <w:lang w:val="en-AU"/>
        </w:rPr>
        <w:t>has</w:t>
      </w:r>
      <w:r w:rsidRPr="00177811">
        <w:rPr>
          <w:rFonts w:ascii="Times New Roman" w:hAnsi="Times New Roman" w:cs="Times New Roman"/>
          <w:sz w:val="24"/>
          <w:szCs w:val="24"/>
          <w:lang w:val="en-AU"/>
        </w:rPr>
        <w:t xml:space="preserve"> a constitutional metaphyseal deformity of more than</w:t>
      </w:r>
      <w:r>
        <w:rPr>
          <w:rFonts w:ascii="Times New Roman" w:hAnsi="Times New Roman" w:cs="Times New Roman"/>
          <w:sz w:val="24"/>
          <w:szCs w:val="24"/>
          <w:lang w:val="en-AU"/>
        </w:rPr>
        <w:t xml:space="preserve"> </w:t>
      </w:r>
      <w:r w:rsidRPr="00177811">
        <w:rPr>
          <w:rFonts w:ascii="Times New Roman" w:hAnsi="Times New Roman" w:cs="Times New Roman"/>
          <w:sz w:val="24"/>
          <w:szCs w:val="24"/>
          <w:lang w:val="en-AU"/>
        </w:rPr>
        <w:t xml:space="preserve">3 </w:t>
      </w:r>
      <w:r w:rsidR="006357F8" w:rsidRPr="00177811">
        <w:rPr>
          <w:rFonts w:ascii="Times New Roman" w:hAnsi="Times New Roman" w:cs="Times New Roman"/>
          <w:sz w:val="24"/>
          <w:szCs w:val="24"/>
          <w:lang w:val="en-AU"/>
        </w:rPr>
        <w:t>degrees</w:t>
      </w:r>
      <w:r w:rsidR="006357F8">
        <w:rPr>
          <w:rFonts w:ascii="Times New Roman" w:hAnsi="Times New Roman" w:cs="Times New Roman"/>
          <w:sz w:val="24"/>
          <w:szCs w:val="24"/>
          <w:lang w:val="en-AU"/>
        </w:rPr>
        <w:t>, has</w:t>
      </w:r>
      <w:r w:rsidRPr="00177811">
        <w:rPr>
          <w:rFonts w:ascii="Times New Roman" w:hAnsi="Times New Roman" w:cs="Times New Roman"/>
          <w:sz w:val="24"/>
          <w:szCs w:val="24"/>
          <w:lang w:val="en-AU"/>
        </w:rPr>
        <w:t xml:space="preserve"> symptoms in the involved compartment and only</w:t>
      </w:r>
      <w:r>
        <w:rPr>
          <w:rFonts w:ascii="Times New Roman" w:hAnsi="Times New Roman" w:cs="Times New Roman"/>
          <w:sz w:val="24"/>
          <w:szCs w:val="24"/>
          <w:lang w:val="en-AU"/>
        </w:rPr>
        <w:t xml:space="preserve"> </w:t>
      </w:r>
      <w:r w:rsidRPr="00177811">
        <w:rPr>
          <w:rFonts w:ascii="Times New Roman" w:hAnsi="Times New Roman" w:cs="Times New Roman"/>
          <w:sz w:val="24"/>
          <w:szCs w:val="24"/>
          <w:lang w:val="en-AU"/>
        </w:rPr>
        <w:t xml:space="preserve">minor patellofemoral </w:t>
      </w:r>
      <w:r w:rsidR="006357F8" w:rsidRPr="00177811">
        <w:rPr>
          <w:rFonts w:ascii="Times New Roman" w:hAnsi="Times New Roman" w:cs="Times New Roman"/>
          <w:sz w:val="24"/>
          <w:szCs w:val="24"/>
          <w:lang w:val="en-AU"/>
        </w:rPr>
        <w:t>complaints</w:t>
      </w:r>
      <w:r w:rsidR="006357F8">
        <w:rPr>
          <w:rFonts w:ascii="Times New Roman" w:hAnsi="Times New Roman" w:cs="Times New Roman"/>
          <w:sz w:val="24"/>
          <w:szCs w:val="24"/>
          <w:lang w:val="en-AU"/>
        </w:rPr>
        <w:t>, has</w:t>
      </w:r>
      <w:r w:rsidRPr="00177811">
        <w:rPr>
          <w:rFonts w:ascii="Times New Roman" w:hAnsi="Times New Roman" w:cs="Times New Roman"/>
          <w:sz w:val="24"/>
          <w:szCs w:val="24"/>
          <w:lang w:val="en-AU"/>
        </w:rPr>
        <w:t xml:space="preserve"> an intact opposite compartment of his knee</w:t>
      </w:r>
      <w:r>
        <w:rPr>
          <w:rFonts w:ascii="Times New Roman" w:hAnsi="Times New Roman" w:cs="Times New Roman"/>
          <w:sz w:val="24"/>
          <w:szCs w:val="24"/>
          <w:lang w:val="en-AU"/>
        </w:rPr>
        <w:t xml:space="preserve">, </w:t>
      </w:r>
      <w:r w:rsidR="00B43F0D">
        <w:rPr>
          <w:rFonts w:ascii="Times New Roman" w:hAnsi="Times New Roman" w:cs="Times New Roman"/>
          <w:sz w:val="24"/>
          <w:szCs w:val="24"/>
          <w:lang w:val="en-AU"/>
        </w:rPr>
        <w:t xml:space="preserve">and </w:t>
      </w:r>
      <w:r w:rsidR="00B43F0D" w:rsidRPr="00177811">
        <w:rPr>
          <w:rFonts w:ascii="Times New Roman" w:hAnsi="Times New Roman" w:cs="Times New Roman"/>
          <w:sz w:val="24"/>
          <w:szCs w:val="24"/>
          <w:lang w:val="en-AU"/>
        </w:rPr>
        <w:t>has</w:t>
      </w:r>
      <w:r w:rsidRPr="00177811">
        <w:rPr>
          <w:rFonts w:ascii="Times New Roman" w:hAnsi="Times New Roman" w:cs="Times New Roman"/>
          <w:sz w:val="24"/>
          <w:szCs w:val="24"/>
          <w:lang w:val="en-AU"/>
        </w:rPr>
        <w:t xml:space="preserve"> not more than 10 degrees of flexion contracture (the</w:t>
      </w:r>
      <w:r>
        <w:rPr>
          <w:rFonts w:ascii="Times New Roman" w:hAnsi="Times New Roman" w:cs="Times New Roman"/>
          <w:sz w:val="24"/>
          <w:szCs w:val="24"/>
          <w:lang w:val="en-AU"/>
        </w:rPr>
        <w:t xml:space="preserve"> </w:t>
      </w:r>
      <w:r w:rsidRPr="00177811">
        <w:rPr>
          <w:rFonts w:ascii="Times New Roman" w:hAnsi="Times New Roman" w:cs="Times New Roman"/>
          <w:sz w:val="24"/>
          <w:szCs w:val="24"/>
          <w:lang w:val="en-AU"/>
        </w:rPr>
        <w:t>osteotomy can correct 10 degrees).</w:t>
      </w:r>
    </w:p>
    <w:p w14:paraId="0278DEEC" w14:textId="2427EB00" w:rsidR="006357F8" w:rsidRDefault="006357F8" w:rsidP="006357F8">
      <w:pPr>
        <w:jc w:val="both"/>
        <w:rPr>
          <w:rFonts w:ascii="Times New Roman" w:hAnsi="Times New Roman" w:cs="Times New Roman"/>
          <w:sz w:val="24"/>
          <w:szCs w:val="24"/>
          <w:lang w:val="en-AU"/>
        </w:rPr>
      </w:pPr>
      <w:r w:rsidRPr="006357F8">
        <w:rPr>
          <w:rFonts w:ascii="Times New Roman" w:hAnsi="Times New Roman" w:cs="Times New Roman"/>
          <w:sz w:val="24"/>
          <w:szCs w:val="24"/>
          <w:lang w:val="en-AU"/>
        </w:rPr>
        <w:t>The ideal patient for UKR</w:t>
      </w:r>
      <w:r>
        <w:rPr>
          <w:rFonts w:ascii="Times New Roman" w:hAnsi="Times New Roman" w:cs="Times New Roman"/>
          <w:sz w:val="24"/>
          <w:szCs w:val="24"/>
          <w:lang w:val="en-AU"/>
        </w:rPr>
        <w:t xml:space="preserve"> </w:t>
      </w:r>
      <w:r w:rsidRPr="006357F8">
        <w:rPr>
          <w:rFonts w:ascii="Times New Roman" w:hAnsi="Times New Roman" w:cs="Times New Roman"/>
          <w:sz w:val="24"/>
          <w:szCs w:val="24"/>
          <w:lang w:val="en-AU"/>
        </w:rPr>
        <w:t xml:space="preserve">has bone-on-bone OA in the involved </w:t>
      </w:r>
      <w:r w:rsidR="00B43F0D" w:rsidRPr="006357F8">
        <w:rPr>
          <w:rFonts w:ascii="Times New Roman" w:hAnsi="Times New Roman" w:cs="Times New Roman"/>
          <w:sz w:val="24"/>
          <w:szCs w:val="24"/>
          <w:lang w:val="en-AU"/>
        </w:rPr>
        <w:t>compartment</w:t>
      </w:r>
      <w:r w:rsidR="00B43F0D">
        <w:rPr>
          <w:rFonts w:ascii="Times New Roman" w:hAnsi="Times New Roman" w:cs="Times New Roman"/>
          <w:sz w:val="24"/>
          <w:szCs w:val="24"/>
          <w:lang w:val="en-AU"/>
        </w:rPr>
        <w:t xml:space="preserve">, </w:t>
      </w:r>
      <w:r w:rsidR="00B43F0D" w:rsidRPr="006357F8">
        <w:rPr>
          <w:rFonts w:ascii="Times New Roman" w:hAnsi="Times New Roman" w:cs="Times New Roman"/>
          <w:sz w:val="24"/>
          <w:szCs w:val="24"/>
          <w:lang w:val="en-AU"/>
        </w:rPr>
        <w:t>has</w:t>
      </w:r>
      <w:r w:rsidRPr="006357F8">
        <w:rPr>
          <w:rFonts w:ascii="Times New Roman" w:hAnsi="Times New Roman" w:cs="Times New Roman"/>
          <w:sz w:val="24"/>
          <w:szCs w:val="24"/>
          <w:lang w:val="en-AU"/>
        </w:rPr>
        <w:t xml:space="preserve"> no extra-articular osseous </w:t>
      </w:r>
      <w:r w:rsidR="00B43F0D" w:rsidRPr="006357F8">
        <w:rPr>
          <w:rFonts w:ascii="Times New Roman" w:hAnsi="Times New Roman" w:cs="Times New Roman"/>
          <w:sz w:val="24"/>
          <w:szCs w:val="24"/>
          <w:lang w:val="en-AU"/>
        </w:rPr>
        <w:t>deformity</w:t>
      </w:r>
      <w:r w:rsidR="00B43F0D">
        <w:rPr>
          <w:rFonts w:ascii="Times New Roman" w:hAnsi="Times New Roman" w:cs="Times New Roman"/>
          <w:sz w:val="24"/>
          <w:szCs w:val="24"/>
          <w:lang w:val="en-AU"/>
        </w:rPr>
        <w:t xml:space="preserve">, </w:t>
      </w:r>
      <w:r w:rsidR="00B43F0D" w:rsidRPr="006357F8">
        <w:rPr>
          <w:rFonts w:ascii="Times New Roman" w:hAnsi="Times New Roman" w:cs="Times New Roman"/>
          <w:sz w:val="24"/>
          <w:szCs w:val="24"/>
          <w:lang w:val="en-AU"/>
        </w:rPr>
        <w:t>has</w:t>
      </w:r>
      <w:r w:rsidRPr="006357F8">
        <w:rPr>
          <w:rFonts w:ascii="Times New Roman" w:hAnsi="Times New Roman" w:cs="Times New Roman"/>
          <w:sz w:val="24"/>
          <w:szCs w:val="24"/>
          <w:lang w:val="en-AU"/>
        </w:rPr>
        <w:t xml:space="preserve"> an intact opposite compartment</w:t>
      </w:r>
      <w:r>
        <w:rPr>
          <w:rFonts w:ascii="Times New Roman" w:hAnsi="Times New Roman" w:cs="Times New Roman"/>
          <w:sz w:val="24"/>
          <w:szCs w:val="24"/>
          <w:lang w:val="en-AU"/>
        </w:rPr>
        <w:t>,</w:t>
      </w:r>
      <w:r w:rsidRPr="006357F8">
        <w:rPr>
          <w:rFonts w:ascii="Times New Roman" w:hAnsi="Times New Roman" w:cs="Times New Roman"/>
          <w:sz w:val="24"/>
          <w:szCs w:val="24"/>
          <w:lang w:val="en-AU"/>
        </w:rPr>
        <w:t xml:space="preserve"> has intact ligaments, especially an intact </w:t>
      </w:r>
      <w:r w:rsidR="00B43F0D" w:rsidRPr="006357F8">
        <w:rPr>
          <w:rFonts w:ascii="Times New Roman" w:hAnsi="Times New Roman" w:cs="Times New Roman"/>
          <w:sz w:val="24"/>
          <w:szCs w:val="24"/>
          <w:lang w:val="en-AU"/>
        </w:rPr>
        <w:t>ACL</w:t>
      </w:r>
      <w:r w:rsidR="00B43F0D">
        <w:rPr>
          <w:rFonts w:ascii="Times New Roman" w:hAnsi="Times New Roman" w:cs="Times New Roman"/>
          <w:sz w:val="24"/>
          <w:szCs w:val="24"/>
          <w:lang w:val="en-AU"/>
        </w:rPr>
        <w:t>, and</w:t>
      </w:r>
      <w:r>
        <w:rPr>
          <w:rFonts w:ascii="Times New Roman" w:hAnsi="Times New Roman" w:cs="Times New Roman"/>
          <w:sz w:val="24"/>
          <w:szCs w:val="24"/>
          <w:lang w:val="en-AU"/>
        </w:rPr>
        <w:t xml:space="preserve"> </w:t>
      </w:r>
      <w:r w:rsidRPr="006357F8">
        <w:rPr>
          <w:rFonts w:ascii="Times New Roman" w:hAnsi="Times New Roman" w:cs="Times New Roman"/>
          <w:sz w:val="24"/>
          <w:szCs w:val="24"/>
          <w:lang w:val="en-AU"/>
        </w:rPr>
        <w:t>has not more than 10 degrees of flexion contracture.</w:t>
      </w:r>
    </w:p>
    <w:p w14:paraId="125D12C5" w14:textId="4C3B5A0C" w:rsidR="006357F8" w:rsidRDefault="006357F8" w:rsidP="006357F8">
      <w:pPr>
        <w:jc w:val="both"/>
        <w:rPr>
          <w:rFonts w:ascii="Times New Roman" w:hAnsi="Times New Roman" w:cs="Times New Roman"/>
          <w:sz w:val="24"/>
          <w:szCs w:val="24"/>
          <w:lang w:val="en-AU"/>
        </w:rPr>
      </w:pPr>
      <w:r>
        <w:rPr>
          <w:rFonts w:ascii="Times New Roman" w:hAnsi="Times New Roman" w:cs="Times New Roman"/>
          <w:sz w:val="24"/>
          <w:szCs w:val="24"/>
          <w:lang w:val="en-AU"/>
        </w:rPr>
        <w:t>In conclusion, MPTA, LDFA and JLCA measurement are paramount to determine the indication for an osteotomy vs a UKR.</w:t>
      </w:r>
      <w:r w:rsidRPr="006357F8">
        <w:rPr>
          <w:rFonts w:ascii="Times New Roman" w:hAnsi="Times New Roman" w:cs="Times New Roman"/>
          <w:sz w:val="24"/>
          <w:szCs w:val="24"/>
          <w:lang w:val="en-AU"/>
        </w:rPr>
        <w:t xml:space="preserve"> </w:t>
      </w:r>
      <w:r w:rsidRPr="00604744">
        <w:rPr>
          <w:rFonts w:ascii="Times New Roman" w:hAnsi="Times New Roman" w:cs="Times New Roman"/>
          <w:sz w:val="24"/>
          <w:szCs w:val="24"/>
          <w:lang w:val="en-AU"/>
        </w:rPr>
        <w:t>The result is not depending on age and grade of osteoarthritis.</w:t>
      </w:r>
      <w:r>
        <w:rPr>
          <w:rFonts w:ascii="Times New Roman" w:hAnsi="Times New Roman" w:cs="Times New Roman"/>
          <w:sz w:val="24"/>
          <w:szCs w:val="24"/>
          <w:lang w:val="en-AU"/>
        </w:rPr>
        <w:t xml:space="preserve"> </w:t>
      </w:r>
      <w:r w:rsidRPr="00604744">
        <w:rPr>
          <w:rFonts w:ascii="Times New Roman" w:hAnsi="Times New Roman" w:cs="Times New Roman"/>
          <w:sz w:val="24"/>
          <w:szCs w:val="24"/>
          <w:lang w:val="en-AU"/>
        </w:rPr>
        <w:t>Age, obesity, or asymptomatic patellofemoral degeneration are not considered exclusion criteria for those surgical procedures.</w:t>
      </w:r>
    </w:p>
    <w:p w14:paraId="724E296F" w14:textId="17A5BC74" w:rsidR="006357F8" w:rsidRDefault="006357F8" w:rsidP="006357F8">
      <w:pPr>
        <w:jc w:val="both"/>
        <w:rPr>
          <w:rFonts w:ascii="Times New Roman" w:hAnsi="Times New Roman" w:cs="Times New Roman"/>
          <w:sz w:val="24"/>
          <w:szCs w:val="24"/>
          <w:lang w:val="en-AU"/>
        </w:rPr>
      </w:pPr>
    </w:p>
    <w:p w14:paraId="7685E28C" w14:textId="0A8045F6" w:rsidR="00130DB3" w:rsidRDefault="00130DB3" w:rsidP="00604744">
      <w:pPr>
        <w:jc w:val="both"/>
        <w:rPr>
          <w:rFonts w:ascii="Times New Roman" w:hAnsi="Times New Roman" w:cs="Times New Roman"/>
          <w:sz w:val="24"/>
          <w:szCs w:val="24"/>
          <w:lang w:val="en-AU"/>
        </w:rPr>
      </w:pPr>
    </w:p>
    <w:p w14:paraId="7608A463" w14:textId="449768BE" w:rsidR="006A3297" w:rsidRDefault="006A3297" w:rsidP="00604744">
      <w:pPr>
        <w:jc w:val="both"/>
        <w:rPr>
          <w:rFonts w:ascii="Times New Roman" w:hAnsi="Times New Roman" w:cs="Times New Roman"/>
          <w:sz w:val="24"/>
          <w:szCs w:val="24"/>
          <w:lang w:val="en-AU"/>
        </w:rPr>
      </w:pPr>
    </w:p>
    <w:p w14:paraId="7F9A27BF" w14:textId="57F3CBB6" w:rsidR="006A3297" w:rsidRDefault="006A3297" w:rsidP="00604744">
      <w:pPr>
        <w:jc w:val="both"/>
        <w:rPr>
          <w:rFonts w:ascii="Times New Roman" w:hAnsi="Times New Roman" w:cs="Times New Roman"/>
          <w:sz w:val="24"/>
          <w:szCs w:val="24"/>
          <w:lang w:val="en-AU"/>
        </w:rPr>
      </w:pPr>
    </w:p>
    <w:p w14:paraId="3EDAF2BD" w14:textId="709F0C88" w:rsidR="006A3297" w:rsidRDefault="006A3297" w:rsidP="00604744">
      <w:pPr>
        <w:jc w:val="both"/>
        <w:rPr>
          <w:rFonts w:ascii="Times New Roman" w:hAnsi="Times New Roman" w:cs="Times New Roman"/>
          <w:sz w:val="24"/>
          <w:szCs w:val="24"/>
          <w:lang w:val="en-AU"/>
        </w:rPr>
      </w:pPr>
    </w:p>
    <w:p w14:paraId="20B0AF60" w14:textId="3544B3FE" w:rsidR="006A3297" w:rsidRDefault="006A3297" w:rsidP="00604744">
      <w:pPr>
        <w:jc w:val="both"/>
        <w:rPr>
          <w:rFonts w:ascii="Times New Roman" w:hAnsi="Times New Roman" w:cs="Times New Roman"/>
          <w:sz w:val="24"/>
          <w:szCs w:val="24"/>
          <w:lang w:val="en-AU"/>
        </w:rPr>
      </w:pPr>
    </w:p>
    <w:p w14:paraId="27B9E101" w14:textId="20F9B304" w:rsidR="006A3297" w:rsidRDefault="006A3297" w:rsidP="00604744">
      <w:pPr>
        <w:jc w:val="both"/>
        <w:rPr>
          <w:rFonts w:ascii="Times New Roman" w:hAnsi="Times New Roman" w:cs="Times New Roman"/>
          <w:sz w:val="24"/>
          <w:szCs w:val="24"/>
          <w:lang w:val="en-AU"/>
        </w:rPr>
      </w:pPr>
    </w:p>
    <w:p w14:paraId="26555727" w14:textId="77777777" w:rsidR="006A3297" w:rsidRDefault="006A3297" w:rsidP="00604744">
      <w:pPr>
        <w:jc w:val="both"/>
        <w:rPr>
          <w:rFonts w:ascii="Times New Roman" w:hAnsi="Times New Roman" w:cs="Times New Roman"/>
          <w:sz w:val="24"/>
          <w:szCs w:val="24"/>
          <w:lang w:val="en-AU"/>
        </w:rPr>
      </w:pPr>
    </w:p>
    <w:p w14:paraId="0E37182B" w14:textId="72A6F4FF" w:rsidR="00BD5FAD" w:rsidRDefault="00BD5FAD" w:rsidP="00604744">
      <w:pPr>
        <w:jc w:val="both"/>
        <w:rPr>
          <w:rFonts w:ascii="Times New Roman" w:hAnsi="Times New Roman" w:cs="Times New Roman"/>
          <w:sz w:val="24"/>
          <w:szCs w:val="24"/>
          <w:lang w:val="en-AU"/>
        </w:rPr>
      </w:pPr>
    </w:p>
    <w:p w14:paraId="0A11D081" w14:textId="77777777" w:rsidR="00BD5FAD" w:rsidRDefault="00BD5FAD" w:rsidP="00604744">
      <w:pPr>
        <w:jc w:val="both"/>
        <w:rPr>
          <w:rFonts w:ascii="Times New Roman" w:hAnsi="Times New Roman" w:cs="Times New Roman"/>
          <w:sz w:val="24"/>
          <w:szCs w:val="24"/>
          <w:lang w:val="en-AU"/>
        </w:rPr>
      </w:pPr>
    </w:p>
    <w:p w14:paraId="47DE649F" w14:textId="40332B6C" w:rsidR="00130DB3" w:rsidRPr="00130DB3" w:rsidRDefault="00130DB3" w:rsidP="00130DB3">
      <w:pPr>
        <w:jc w:val="both"/>
        <w:rPr>
          <w:rFonts w:ascii="Times New Roman" w:hAnsi="Times New Roman" w:cs="Times New Roman"/>
          <w:sz w:val="24"/>
          <w:szCs w:val="24"/>
          <w:lang w:val="en-AU"/>
        </w:rPr>
      </w:pPr>
      <w:r>
        <w:rPr>
          <w:rFonts w:ascii="Times New Roman" w:hAnsi="Times New Roman" w:cs="Times New Roman"/>
          <w:sz w:val="24"/>
          <w:szCs w:val="24"/>
          <w:lang w:val="en-AU"/>
        </w:rPr>
        <w:lastRenderedPageBreak/>
        <w:t>3</w:t>
      </w:r>
      <w:r w:rsidRPr="00130DB3">
        <w:rPr>
          <w:rFonts w:ascii="Times New Roman" w:hAnsi="Times New Roman" w:cs="Times New Roman"/>
          <w:sz w:val="24"/>
          <w:szCs w:val="24"/>
          <w:lang w:val="en-AU"/>
        </w:rPr>
        <w:t>)</w:t>
      </w:r>
      <w:r w:rsidRPr="00130DB3">
        <w:rPr>
          <w:rFonts w:ascii="Times New Roman" w:hAnsi="Times New Roman" w:cs="Times New Roman"/>
          <w:sz w:val="24"/>
          <w:szCs w:val="24"/>
          <w:lang w:val="en-AU"/>
        </w:rPr>
        <w:tab/>
        <w:t xml:space="preserve"> Planning preoperatorio</w:t>
      </w:r>
    </w:p>
    <w:p w14:paraId="39C6F550" w14:textId="77777777" w:rsidR="00130DB3" w:rsidRPr="00130DB3"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 xml:space="preserve"> </w:t>
      </w:r>
    </w:p>
    <w:p w14:paraId="20BDD7D4" w14:textId="095100FC" w:rsidR="00130DB3"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 xml:space="preserve">D. W. </w:t>
      </w:r>
      <w:proofErr w:type="gramStart"/>
      <w:r w:rsidRPr="00130DB3">
        <w:rPr>
          <w:rFonts w:ascii="Times New Roman" w:hAnsi="Times New Roman" w:cs="Times New Roman"/>
          <w:sz w:val="24"/>
          <w:szCs w:val="24"/>
          <w:lang w:val="en-AU"/>
        </w:rPr>
        <w:t>Elson ,</w:t>
      </w:r>
      <w:proofErr w:type="gramEnd"/>
      <w:r w:rsidRPr="00130DB3">
        <w:rPr>
          <w:rFonts w:ascii="Times New Roman" w:hAnsi="Times New Roman" w:cs="Times New Roman"/>
          <w:sz w:val="24"/>
          <w:szCs w:val="24"/>
          <w:lang w:val="en-AU"/>
        </w:rPr>
        <w:t xml:space="preserve">  T. G. Petheram , M. J. Dawson  High reliability in digital planning of medial opening wedge high tibial osteotomy, using Miniaci’s method  2014 Knee Surg Sports Traumatol Arthrosc  DOI 10.1007/s00167-014-2920-x</w:t>
      </w:r>
    </w:p>
    <w:p w14:paraId="2790A584" w14:textId="32FD3D93" w:rsidR="0084740F" w:rsidRDefault="0084740F" w:rsidP="00130DB3">
      <w:pPr>
        <w:jc w:val="both"/>
        <w:rPr>
          <w:rFonts w:ascii="Times New Roman" w:hAnsi="Times New Roman" w:cs="Times New Roman"/>
          <w:sz w:val="24"/>
          <w:szCs w:val="24"/>
          <w:lang w:val="en-AU"/>
        </w:rPr>
      </w:pPr>
    </w:p>
    <w:p w14:paraId="64C3A096" w14:textId="1D7E877D" w:rsidR="00AD03DF" w:rsidRPr="006A3297" w:rsidRDefault="006A3297" w:rsidP="00130DB3">
      <w:pPr>
        <w:jc w:val="both"/>
        <w:rPr>
          <w:rFonts w:ascii="Times New Roman" w:hAnsi="Times New Roman" w:cs="Times New Roman"/>
          <w:sz w:val="24"/>
          <w:szCs w:val="24"/>
        </w:rPr>
      </w:pPr>
      <w:r w:rsidRPr="006A3297">
        <w:rPr>
          <w:rFonts w:ascii="Times New Roman" w:hAnsi="Times New Roman" w:cs="Times New Roman"/>
          <w:sz w:val="24"/>
          <w:szCs w:val="24"/>
        </w:rPr>
        <w:t xml:space="preserve">Data </w:t>
      </w:r>
      <w:r w:rsidR="00256420" w:rsidRPr="006A3297">
        <w:rPr>
          <w:rFonts w:ascii="Times New Roman" w:hAnsi="Times New Roman" w:cs="Times New Roman"/>
          <w:sz w:val="24"/>
          <w:szCs w:val="24"/>
        </w:rPr>
        <w:t>l’indicazione</w:t>
      </w:r>
      <w:r w:rsidRPr="006A3297">
        <w:rPr>
          <w:rFonts w:ascii="Times New Roman" w:hAnsi="Times New Roman" w:cs="Times New Roman"/>
          <w:sz w:val="24"/>
          <w:szCs w:val="24"/>
        </w:rPr>
        <w:t xml:space="preserve"> </w:t>
      </w:r>
      <w:r w:rsidR="00256420" w:rsidRPr="006A3297">
        <w:rPr>
          <w:rFonts w:ascii="Times New Roman" w:hAnsi="Times New Roman" w:cs="Times New Roman"/>
          <w:sz w:val="24"/>
          <w:szCs w:val="24"/>
        </w:rPr>
        <w:t>all’osteotomia</w:t>
      </w:r>
      <w:r>
        <w:rPr>
          <w:rFonts w:ascii="Times New Roman" w:hAnsi="Times New Roman" w:cs="Times New Roman"/>
          <w:sz w:val="24"/>
          <w:szCs w:val="24"/>
        </w:rPr>
        <w:t xml:space="preserve">, si passa </w:t>
      </w:r>
      <w:r w:rsidR="00256420">
        <w:rPr>
          <w:rFonts w:ascii="Times New Roman" w:hAnsi="Times New Roman" w:cs="Times New Roman"/>
          <w:sz w:val="24"/>
          <w:szCs w:val="24"/>
        </w:rPr>
        <w:t>all’esecuzione</w:t>
      </w:r>
      <w:r>
        <w:rPr>
          <w:rFonts w:ascii="Times New Roman" w:hAnsi="Times New Roman" w:cs="Times New Roman"/>
          <w:sz w:val="24"/>
          <w:szCs w:val="24"/>
        </w:rPr>
        <w:t xml:space="preserve"> della misurazione degli angoli per stabilire la localizzazione della correzione e la sua entita`. La tecnica utilizzata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quella di Miniaci attraverso il sistema PACS, facilmente reperibile.</w:t>
      </w:r>
      <w:r w:rsidR="00256420">
        <w:rPr>
          <w:rFonts w:ascii="Times New Roman" w:hAnsi="Times New Roman" w:cs="Times New Roman"/>
          <w:sz w:val="24"/>
          <w:szCs w:val="24"/>
        </w:rPr>
        <w:t xml:space="preserve"> Il sistema e accurato, ripetibile e di basso costo. L’articolo permette di valutare ogni passaggio del plan e dimostra come vi sia una </w:t>
      </w:r>
      <w:proofErr w:type="gramStart"/>
      <w:r w:rsidR="00256420">
        <w:rPr>
          <w:rFonts w:ascii="Times New Roman" w:hAnsi="Times New Roman" w:cs="Times New Roman"/>
          <w:sz w:val="24"/>
          <w:szCs w:val="24"/>
        </w:rPr>
        <w:t xml:space="preserve">elevata </w:t>
      </w:r>
      <w:r w:rsidR="00AD03DF">
        <w:rPr>
          <w:rFonts w:ascii="Times New Roman" w:hAnsi="Times New Roman" w:cs="Times New Roman"/>
          <w:sz w:val="24"/>
          <w:szCs w:val="24"/>
        </w:rPr>
        <w:t xml:space="preserve"> accuratezza</w:t>
      </w:r>
      <w:proofErr w:type="gramEnd"/>
      <w:r w:rsidR="00AD03DF">
        <w:rPr>
          <w:rFonts w:ascii="Times New Roman" w:hAnsi="Times New Roman" w:cs="Times New Roman"/>
          <w:sz w:val="24"/>
          <w:szCs w:val="24"/>
        </w:rPr>
        <w:t>.La corretta pianificazione dell`osteotomia e` fondamentale per ottenere un buon risultato intraoperatorio e offrire al paziente il miglior risultato clinico.</w:t>
      </w:r>
    </w:p>
    <w:p w14:paraId="2E0DAAB8" w14:textId="77777777" w:rsidR="00130DB3" w:rsidRPr="006A3297" w:rsidRDefault="00130DB3" w:rsidP="00130DB3">
      <w:pPr>
        <w:jc w:val="both"/>
        <w:rPr>
          <w:rFonts w:ascii="Times New Roman" w:hAnsi="Times New Roman" w:cs="Times New Roman"/>
          <w:sz w:val="24"/>
          <w:szCs w:val="24"/>
        </w:rPr>
      </w:pPr>
    </w:p>
    <w:p w14:paraId="5D5B325A" w14:textId="77777777" w:rsidR="00130DB3" w:rsidRPr="00130DB3"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Abstract</w:t>
      </w:r>
    </w:p>
    <w:p w14:paraId="4EEEABEB" w14:textId="1ACE969C" w:rsidR="00130DB3" w:rsidRPr="00130DB3"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Purpose Pre-operative planning is essential in high tibial osteotomy (HTO). Miniaci’s method employs Mikulicz’s weight-bearing line and is advantageous because the point of mechanical loading is related to the known degenerative condition of the knee. Miniaci’s geometrical method has</w:t>
      </w:r>
      <w:r w:rsidR="0084740F">
        <w:rPr>
          <w:rFonts w:ascii="Times New Roman" w:hAnsi="Times New Roman" w:cs="Times New Roman"/>
          <w:sz w:val="24"/>
          <w:szCs w:val="24"/>
          <w:lang w:val="en-AU"/>
        </w:rPr>
        <w:t xml:space="preserve"> </w:t>
      </w:r>
      <w:r w:rsidRPr="00130DB3">
        <w:rPr>
          <w:rFonts w:ascii="Times New Roman" w:hAnsi="Times New Roman" w:cs="Times New Roman"/>
          <w:sz w:val="24"/>
          <w:szCs w:val="24"/>
          <w:lang w:val="en-AU"/>
        </w:rPr>
        <w:t>been modified for an opening wedge and described for use with a digital picture archiving and communications system viewer. Reliability for this method was hypothesised to be equivalent to published reliability for landmark-based commercial software and independent of observer experience.</w:t>
      </w:r>
    </w:p>
    <w:p w14:paraId="1109040E" w14:textId="77777777" w:rsidR="00256420"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 xml:space="preserve">Methods Twenty-four patients awaiting HTO had standardised long-leg radiographs. Mikulicz’s weight-bearing line was projected through the lateral compartment of the knee at Fujisawa’s point. The correction angle was generated at the hinge point subtending the current and proposed ankle centres. </w:t>
      </w:r>
    </w:p>
    <w:p w14:paraId="259648B4" w14:textId="4D17882B" w:rsidR="00256420" w:rsidRDefault="00256420" w:rsidP="00130DB3">
      <w:pPr>
        <w:jc w:val="both"/>
        <w:rPr>
          <w:rFonts w:ascii="Times New Roman" w:hAnsi="Times New Roman" w:cs="Times New Roman"/>
          <w:sz w:val="24"/>
          <w:szCs w:val="24"/>
          <w:lang w:val="en-AU"/>
        </w:rPr>
      </w:pPr>
      <w:r>
        <w:rPr>
          <w:rFonts w:ascii="Times New Roman" w:hAnsi="Times New Roman" w:cs="Times New Roman"/>
          <w:sz w:val="24"/>
          <w:szCs w:val="24"/>
          <w:lang w:val="en-AU"/>
        </w:rPr>
        <w:t>Fig.1</w:t>
      </w:r>
      <w:r w:rsidRPr="00256420">
        <w:rPr>
          <w:rFonts w:ascii="Times New Roman" w:hAnsi="Times New Roman" w:cs="Times New Roman"/>
          <w:noProof/>
          <w:sz w:val="24"/>
          <w:szCs w:val="24"/>
          <w:lang w:val="en-AU"/>
        </w:rPr>
        <w:drawing>
          <wp:inline distT="0" distB="0" distL="0" distR="0" wp14:anchorId="0909B9D7" wp14:editId="0CB0C5EA">
            <wp:extent cx="1773208" cy="230822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007" cy="2317076"/>
                    </a:xfrm>
                    <a:prstGeom prst="rect">
                      <a:avLst/>
                    </a:prstGeom>
                    <a:noFill/>
                    <a:ln>
                      <a:noFill/>
                    </a:ln>
                  </pic:spPr>
                </pic:pic>
              </a:graphicData>
            </a:graphic>
          </wp:inline>
        </w:drawing>
      </w:r>
      <w:r w:rsidR="00272CBA">
        <w:rPr>
          <w:rFonts w:ascii="Times New Roman" w:hAnsi="Times New Roman" w:cs="Times New Roman"/>
          <w:sz w:val="24"/>
          <w:szCs w:val="24"/>
          <w:lang w:val="en-AU"/>
        </w:rPr>
        <w:t>Fig.2</w:t>
      </w:r>
      <w:r w:rsidR="00272CBA" w:rsidRPr="00272CBA">
        <w:rPr>
          <w:rFonts w:ascii="Times New Roman" w:hAnsi="Times New Roman" w:cs="Times New Roman"/>
          <w:noProof/>
          <w:sz w:val="24"/>
          <w:szCs w:val="24"/>
          <w:lang w:val="en-AU"/>
        </w:rPr>
        <w:drawing>
          <wp:inline distT="0" distB="0" distL="0" distR="0" wp14:anchorId="767916A9" wp14:editId="74EBDF65">
            <wp:extent cx="1435360" cy="2304415"/>
            <wp:effectExtent l="0" t="0" r="0"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491" cy="2322285"/>
                    </a:xfrm>
                    <a:prstGeom prst="rect">
                      <a:avLst/>
                    </a:prstGeom>
                    <a:noFill/>
                    <a:ln>
                      <a:noFill/>
                    </a:ln>
                  </pic:spPr>
                </pic:pic>
              </a:graphicData>
            </a:graphic>
          </wp:inline>
        </w:drawing>
      </w:r>
      <w:r w:rsidR="00272CBA">
        <w:rPr>
          <w:rFonts w:ascii="Times New Roman" w:hAnsi="Times New Roman" w:cs="Times New Roman"/>
          <w:sz w:val="24"/>
          <w:szCs w:val="24"/>
          <w:lang w:val="en-AU"/>
        </w:rPr>
        <w:t>Fig.3</w:t>
      </w:r>
      <w:r w:rsidR="00272CBA">
        <w:rPr>
          <w:rFonts w:ascii="Times New Roman" w:hAnsi="Times New Roman" w:cs="Times New Roman"/>
          <w:noProof/>
          <w:sz w:val="24"/>
          <w:szCs w:val="24"/>
          <w:lang w:val="en-AU"/>
        </w:rPr>
        <w:t xml:space="preserve"> </w:t>
      </w:r>
      <w:r w:rsidR="00272CBA" w:rsidRPr="00272CBA">
        <w:rPr>
          <w:rFonts w:ascii="Times New Roman" w:hAnsi="Times New Roman" w:cs="Times New Roman"/>
          <w:noProof/>
          <w:sz w:val="24"/>
          <w:szCs w:val="24"/>
          <w:lang w:val="en-AU"/>
        </w:rPr>
        <w:drawing>
          <wp:inline distT="0" distB="0" distL="0" distR="0" wp14:anchorId="26E6B6DA" wp14:editId="45FBE64B">
            <wp:extent cx="1703891" cy="230458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1855" cy="2315356"/>
                    </a:xfrm>
                    <a:prstGeom prst="rect">
                      <a:avLst/>
                    </a:prstGeom>
                    <a:noFill/>
                    <a:ln>
                      <a:noFill/>
                    </a:ln>
                  </pic:spPr>
                </pic:pic>
              </a:graphicData>
            </a:graphic>
          </wp:inline>
        </w:drawing>
      </w:r>
      <w:r w:rsidR="00272CBA">
        <w:rPr>
          <w:rFonts w:ascii="Times New Roman" w:hAnsi="Times New Roman" w:cs="Times New Roman"/>
          <w:noProof/>
          <w:sz w:val="24"/>
          <w:szCs w:val="24"/>
          <w:lang w:val="en-AU"/>
        </w:rPr>
        <w:t xml:space="preserve">  </w:t>
      </w:r>
    </w:p>
    <w:p w14:paraId="3932D955" w14:textId="72424CE0" w:rsidR="00256420" w:rsidRDefault="00256420" w:rsidP="00256420">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 1: </w:t>
      </w:r>
      <w:r w:rsidRPr="00256420">
        <w:rPr>
          <w:rFonts w:ascii="Times New Roman" w:hAnsi="Times New Roman" w:cs="Times New Roman"/>
          <w:sz w:val="24"/>
          <w:szCs w:val="24"/>
          <w:lang w:val="en-AU"/>
        </w:rPr>
        <w:t>Fijisawa’s point was marked at 62.5 % of the tibial width (medial to lateral). A projected new Mikulicz line was drawn from the femoral</w:t>
      </w:r>
      <w:r>
        <w:rPr>
          <w:rFonts w:ascii="Times New Roman" w:hAnsi="Times New Roman" w:cs="Times New Roman"/>
          <w:sz w:val="24"/>
          <w:szCs w:val="24"/>
          <w:lang w:val="en-AU"/>
        </w:rPr>
        <w:t xml:space="preserve"> </w:t>
      </w:r>
      <w:r w:rsidRPr="00256420">
        <w:rPr>
          <w:rFonts w:ascii="Times New Roman" w:hAnsi="Times New Roman" w:cs="Times New Roman"/>
          <w:sz w:val="24"/>
          <w:szCs w:val="24"/>
          <w:lang w:val="en-AU"/>
        </w:rPr>
        <w:t>head centre, passing through the marked Fujisawa’s point and extrapolated down to the level of the ankle</w:t>
      </w:r>
    </w:p>
    <w:p w14:paraId="748C1DD7" w14:textId="6BBE9CB1" w:rsidR="00272CBA" w:rsidRDefault="00272CBA" w:rsidP="00272CBA">
      <w:pPr>
        <w:jc w:val="both"/>
        <w:rPr>
          <w:rFonts w:ascii="Times New Roman" w:hAnsi="Times New Roman" w:cs="Times New Roman"/>
          <w:sz w:val="24"/>
          <w:szCs w:val="24"/>
          <w:lang w:val="en-AU"/>
        </w:rPr>
      </w:pPr>
      <w:r>
        <w:rPr>
          <w:rFonts w:ascii="Times New Roman" w:hAnsi="Times New Roman" w:cs="Times New Roman"/>
          <w:sz w:val="24"/>
          <w:szCs w:val="24"/>
          <w:lang w:val="en-AU"/>
        </w:rPr>
        <w:lastRenderedPageBreak/>
        <w:t xml:space="preserve">Fig.2 </w:t>
      </w:r>
      <w:r w:rsidRPr="00272CBA">
        <w:rPr>
          <w:rFonts w:ascii="Times New Roman" w:hAnsi="Times New Roman" w:cs="Times New Roman"/>
          <w:sz w:val="24"/>
          <w:szCs w:val="24"/>
          <w:lang w:val="en-AU"/>
        </w:rPr>
        <w:t>The correction angle (red lines, in this case, 8.3</w:t>
      </w:r>
      <w:r>
        <w:rPr>
          <w:rFonts w:ascii="Times New Roman" w:hAnsi="Times New Roman" w:cs="Times New Roman"/>
          <w:sz w:val="24"/>
          <w:szCs w:val="24"/>
          <w:lang w:val="en-AU"/>
        </w:rPr>
        <w:t>degrees</w:t>
      </w:r>
      <w:r w:rsidRPr="00272CBA">
        <w:rPr>
          <w:rFonts w:ascii="Times New Roman" w:hAnsi="Times New Roman" w:cs="Times New Roman"/>
          <w:sz w:val="24"/>
          <w:szCs w:val="24"/>
          <w:lang w:val="en-AU"/>
        </w:rPr>
        <w:t>) intersects</w:t>
      </w:r>
      <w:r>
        <w:rPr>
          <w:rFonts w:ascii="Times New Roman" w:hAnsi="Times New Roman" w:cs="Times New Roman"/>
          <w:sz w:val="24"/>
          <w:szCs w:val="24"/>
          <w:lang w:val="en-AU"/>
        </w:rPr>
        <w:t xml:space="preserve"> </w:t>
      </w:r>
      <w:r w:rsidRPr="00272CBA">
        <w:rPr>
          <w:rFonts w:ascii="Times New Roman" w:hAnsi="Times New Roman" w:cs="Times New Roman"/>
          <w:sz w:val="24"/>
          <w:szCs w:val="24"/>
          <w:lang w:val="en-AU"/>
        </w:rPr>
        <w:t>lines from the hinge point to pre-operative ankle centre and the hinge</w:t>
      </w:r>
      <w:r>
        <w:rPr>
          <w:rFonts w:ascii="Times New Roman" w:hAnsi="Times New Roman" w:cs="Times New Roman"/>
          <w:sz w:val="24"/>
          <w:szCs w:val="24"/>
          <w:lang w:val="en-AU"/>
        </w:rPr>
        <w:t xml:space="preserve"> </w:t>
      </w:r>
      <w:r w:rsidRPr="00272CBA">
        <w:rPr>
          <w:rFonts w:ascii="Times New Roman" w:hAnsi="Times New Roman" w:cs="Times New Roman"/>
          <w:sz w:val="24"/>
          <w:szCs w:val="24"/>
          <w:lang w:val="en-AU"/>
        </w:rPr>
        <w:t>point to post-operative ankle centre</w:t>
      </w:r>
    </w:p>
    <w:p w14:paraId="0A8E1D27" w14:textId="0CEF9713" w:rsidR="00272CBA" w:rsidRDefault="00272CBA" w:rsidP="00272CBA">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 3 </w:t>
      </w:r>
      <w:r w:rsidRPr="00272CBA">
        <w:rPr>
          <w:rFonts w:ascii="Times New Roman" w:hAnsi="Times New Roman" w:cs="Times New Roman"/>
          <w:sz w:val="24"/>
          <w:szCs w:val="24"/>
          <w:lang w:val="en-AU"/>
        </w:rPr>
        <w:t>The proximal arm of the angle tool was then swung distally to</w:t>
      </w:r>
      <w:r>
        <w:rPr>
          <w:rFonts w:ascii="Times New Roman" w:hAnsi="Times New Roman" w:cs="Times New Roman"/>
          <w:sz w:val="24"/>
          <w:szCs w:val="24"/>
          <w:lang w:val="en-AU"/>
        </w:rPr>
        <w:t xml:space="preserve"> </w:t>
      </w:r>
      <w:r w:rsidRPr="00272CBA">
        <w:rPr>
          <w:rFonts w:ascii="Times New Roman" w:hAnsi="Times New Roman" w:cs="Times New Roman"/>
          <w:sz w:val="24"/>
          <w:szCs w:val="24"/>
          <w:lang w:val="en-AU"/>
        </w:rPr>
        <w:t>the magnitude of the previously calculated correction angle (in this</w:t>
      </w:r>
      <w:r>
        <w:rPr>
          <w:rFonts w:ascii="Times New Roman" w:hAnsi="Times New Roman" w:cs="Times New Roman"/>
          <w:sz w:val="24"/>
          <w:szCs w:val="24"/>
          <w:lang w:val="en-AU"/>
        </w:rPr>
        <w:t xml:space="preserve"> </w:t>
      </w:r>
      <w:r w:rsidRPr="00272CBA">
        <w:rPr>
          <w:rFonts w:ascii="Times New Roman" w:hAnsi="Times New Roman" w:cs="Times New Roman"/>
          <w:sz w:val="24"/>
          <w:szCs w:val="24"/>
          <w:lang w:val="en-AU"/>
        </w:rPr>
        <w:t>case, 8.3</w:t>
      </w:r>
      <w:r>
        <w:rPr>
          <w:rFonts w:ascii="Times New Roman" w:hAnsi="Times New Roman" w:cs="Times New Roman"/>
          <w:sz w:val="24"/>
          <w:szCs w:val="24"/>
          <w:lang w:val="en-AU"/>
        </w:rPr>
        <w:t>degr.</w:t>
      </w:r>
      <w:r w:rsidRPr="00272CBA">
        <w:rPr>
          <w:rFonts w:ascii="Times New Roman" w:hAnsi="Times New Roman" w:cs="Times New Roman"/>
          <w:sz w:val="24"/>
          <w:szCs w:val="24"/>
          <w:lang w:val="en-AU"/>
        </w:rPr>
        <w:t>) and extrapolated beyond the medial cortex. The distance</w:t>
      </w:r>
      <w:r>
        <w:rPr>
          <w:rFonts w:ascii="Times New Roman" w:hAnsi="Times New Roman" w:cs="Times New Roman"/>
          <w:sz w:val="24"/>
          <w:szCs w:val="24"/>
          <w:lang w:val="en-AU"/>
        </w:rPr>
        <w:t xml:space="preserve"> </w:t>
      </w:r>
      <w:r w:rsidRPr="00272CBA">
        <w:rPr>
          <w:rFonts w:ascii="Times New Roman" w:hAnsi="Times New Roman" w:cs="Times New Roman"/>
          <w:sz w:val="24"/>
          <w:szCs w:val="24"/>
          <w:lang w:val="en-AU"/>
        </w:rPr>
        <w:t>between the intersections of these lines with the medial cortex was</w:t>
      </w:r>
      <w:r>
        <w:rPr>
          <w:rFonts w:ascii="Times New Roman" w:hAnsi="Times New Roman" w:cs="Times New Roman"/>
          <w:sz w:val="24"/>
          <w:szCs w:val="24"/>
          <w:lang w:val="en-AU"/>
        </w:rPr>
        <w:t xml:space="preserve"> </w:t>
      </w:r>
      <w:r w:rsidRPr="00272CBA">
        <w:rPr>
          <w:rFonts w:ascii="Times New Roman" w:hAnsi="Times New Roman" w:cs="Times New Roman"/>
          <w:sz w:val="24"/>
          <w:szCs w:val="24"/>
          <w:lang w:val="en-AU"/>
        </w:rPr>
        <w:t>recorded as the opening distance (in this case, 10.7 mm)</w:t>
      </w:r>
    </w:p>
    <w:p w14:paraId="0BAD6A28" w14:textId="77777777" w:rsidR="00256420" w:rsidRDefault="00256420" w:rsidP="00130DB3">
      <w:pPr>
        <w:jc w:val="both"/>
        <w:rPr>
          <w:rFonts w:ascii="Times New Roman" w:hAnsi="Times New Roman" w:cs="Times New Roman"/>
          <w:sz w:val="24"/>
          <w:szCs w:val="24"/>
          <w:lang w:val="en-AU"/>
        </w:rPr>
      </w:pPr>
    </w:p>
    <w:p w14:paraId="61B70DA6" w14:textId="116FDE3C" w:rsidR="00130DB3" w:rsidRPr="00130DB3"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The opening wedge was plotted to measure an opening distance. Observations were recorded</w:t>
      </w:r>
      <w:r w:rsidR="006A3297">
        <w:rPr>
          <w:rFonts w:ascii="Times New Roman" w:hAnsi="Times New Roman" w:cs="Times New Roman"/>
          <w:sz w:val="24"/>
          <w:szCs w:val="24"/>
          <w:lang w:val="en-AU"/>
        </w:rPr>
        <w:t xml:space="preserve"> </w:t>
      </w:r>
      <w:r w:rsidRPr="00130DB3">
        <w:rPr>
          <w:rFonts w:ascii="Times New Roman" w:hAnsi="Times New Roman" w:cs="Times New Roman"/>
          <w:sz w:val="24"/>
          <w:szCs w:val="24"/>
          <w:lang w:val="en-AU"/>
        </w:rPr>
        <w:t>twice by three observers. Agreement was reported as intraclass correlation coefficients with 95 % confidence intervals.</w:t>
      </w:r>
    </w:p>
    <w:p w14:paraId="46937F6F" w14:textId="77777777" w:rsidR="00130DB3" w:rsidRPr="00130DB3"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Results Intra-rater agreement was excellent for the correction angle (0.965–0.985) and opening distance (0.928–0.980). If no set hinge point was used, then the inter-rater reliability was 0.986 for the correction angle and 0.984 for the opening distance. There was no discernible pattern demonstrating improved reliability from the experienced observer.</w:t>
      </w:r>
    </w:p>
    <w:p w14:paraId="238C8EE8" w14:textId="77777777" w:rsidR="00130DB3" w:rsidRPr="00130DB3"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Conclusions Reliability is comparable to commercially based landmark software and independent of observer experience. This makes such geometrical pre-operative planning accessible to surgeons who perform HTO with insufficient frequency to justify the investment in commercial software.</w:t>
      </w:r>
    </w:p>
    <w:p w14:paraId="001F676C" w14:textId="62531BFE" w:rsidR="00130DB3" w:rsidRDefault="00130DB3" w:rsidP="00130DB3">
      <w:pPr>
        <w:jc w:val="both"/>
        <w:rPr>
          <w:rFonts w:ascii="Times New Roman" w:hAnsi="Times New Roman" w:cs="Times New Roman"/>
          <w:sz w:val="24"/>
          <w:szCs w:val="24"/>
          <w:lang w:val="en-AU"/>
        </w:rPr>
      </w:pPr>
      <w:r w:rsidRPr="00130DB3">
        <w:rPr>
          <w:rFonts w:ascii="Times New Roman" w:hAnsi="Times New Roman" w:cs="Times New Roman"/>
          <w:sz w:val="24"/>
          <w:szCs w:val="24"/>
          <w:lang w:val="en-AU"/>
        </w:rPr>
        <w:t>Level of evidence Diagnostic study, Level II.</w:t>
      </w:r>
    </w:p>
    <w:p w14:paraId="5CF6BE07" w14:textId="00E50B42" w:rsidR="00130DB3" w:rsidRDefault="00130DB3" w:rsidP="00604744">
      <w:pPr>
        <w:jc w:val="both"/>
        <w:rPr>
          <w:rFonts w:ascii="Times New Roman" w:hAnsi="Times New Roman" w:cs="Times New Roman"/>
          <w:sz w:val="24"/>
          <w:szCs w:val="24"/>
          <w:lang w:val="en-AU"/>
        </w:rPr>
      </w:pPr>
    </w:p>
    <w:p w14:paraId="6DED87FD" w14:textId="77777777" w:rsidR="00130DB3" w:rsidRDefault="00130DB3" w:rsidP="00604744">
      <w:pPr>
        <w:jc w:val="both"/>
        <w:rPr>
          <w:rFonts w:ascii="Times New Roman" w:hAnsi="Times New Roman" w:cs="Times New Roman"/>
          <w:sz w:val="24"/>
          <w:szCs w:val="24"/>
          <w:lang w:val="en-AU"/>
        </w:rPr>
      </w:pPr>
    </w:p>
    <w:p w14:paraId="0EE85D82" w14:textId="6E82E202" w:rsidR="0084740F" w:rsidRPr="0084740F" w:rsidRDefault="004C3B96" w:rsidP="0084740F">
      <w:pPr>
        <w:pStyle w:val="Paragrafoelenco"/>
        <w:numPr>
          <w:ilvl w:val="0"/>
          <w:numId w:val="7"/>
        </w:numPr>
        <w:jc w:val="both"/>
        <w:rPr>
          <w:rFonts w:ascii="Times New Roman" w:hAnsi="Times New Roman" w:cs="Times New Roman"/>
          <w:sz w:val="24"/>
          <w:szCs w:val="24"/>
        </w:rPr>
      </w:pPr>
      <w:r w:rsidRPr="00597424">
        <w:rPr>
          <w:rFonts w:ascii="Times New Roman" w:hAnsi="Times New Roman" w:cs="Times New Roman"/>
          <w:sz w:val="24"/>
          <w:szCs w:val="24"/>
          <w:lang w:val="en-AU"/>
        </w:rPr>
        <w:t xml:space="preserve"> </w:t>
      </w:r>
      <w:r w:rsidR="00AD03DF" w:rsidRPr="0084740F">
        <w:rPr>
          <w:rFonts w:ascii="Times New Roman" w:hAnsi="Times New Roman" w:cs="Times New Roman"/>
          <w:sz w:val="24"/>
          <w:szCs w:val="24"/>
        </w:rPr>
        <w:t>L’osteotomia</w:t>
      </w:r>
      <w:r w:rsidR="0084740F" w:rsidRPr="0084740F">
        <w:rPr>
          <w:rFonts w:ascii="Times New Roman" w:hAnsi="Times New Roman" w:cs="Times New Roman"/>
          <w:sz w:val="24"/>
          <w:szCs w:val="24"/>
        </w:rPr>
        <w:t xml:space="preserve"> preservando la linea articolare</w:t>
      </w:r>
    </w:p>
    <w:p w14:paraId="0357F8C1" w14:textId="77777777" w:rsidR="0084740F" w:rsidRPr="0084740F" w:rsidRDefault="0084740F" w:rsidP="0084740F">
      <w:pPr>
        <w:jc w:val="both"/>
        <w:rPr>
          <w:rFonts w:ascii="Times New Roman" w:hAnsi="Times New Roman" w:cs="Times New Roman"/>
          <w:sz w:val="24"/>
          <w:szCs w:val="24"/>
        </w:rPr>
      </w:pPr>
    </w:p>
    <w:p w14:paraId="60EEC440" w14:textId="77777777"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 xml:space="preserve">George C Babis, Kai-Nan An, Edmund Y S Chao, James A Rand, Franklin H </w:t>
      </w:r>
      <w:proofErr w:type="gramStart"/>
      <w:r w:rsidRPr="0084740F">
        <w:rPr>
          <w:rFonts w:ascii="Times New Roman" w:hAnsi="Times New Roman" w:cs="Times New Roman"/>
          <w:sz w:val="24"/>
          <w:szCs w:val="24"/>
          <w:lang w:val="en-AU"/>
        </w:rPr>
        <w:t>Sim  “</w:t>
      </w:r>
      <w:proofErr w:type="gramEnd"/>
      <w:r w:rsidRPr="0084740F">
        <w:rPr>
          <w:rFonts w:ascii="Times New Roman" w:hAnsi="Times New Roman" w:cs="Times New Roman"/>
          <w:sz w:val="24"/>
          <w:szCs w:val="24"/>
          <w:lang w:val="en-AU"/>
        </w:rPr>
        <w:t>Double Level Osteotomy of the Knee: A Method to Retain Joint-Line Obliquity: Clinical Results”  JBJS  volume 84-a · number 8 · august 2002</w:t>
      </w:r>
    </w:p>
    <w:p w14:paraId="4D1ABBD1" w14:textId="25B6EA1C" w:rsidR="0084740F" w:rsidRPr="0084740F" w:rsidRDefault="00272CBA" w:rsidP="0084740F">
      <w:pPr>
        <w:jc w:val="both"/>
        <w:rPr>
          <w:rFonts w:ascii="Times New Roman" w:hAnsi="Times New Roman" w:cs="Times New Roman"/>
          <w:sz w:val="24"/>
          <w:szCs w:val="24"/>
        </w:rPr>
      </w:pPr>
      <w:r>
        <w:rPr>
          <w:rFonts w:ascii="Times New Roman" w:hAnsi="Times New Roman" w:cs="Times New Roman"/>
          <w:sz w:val="24"/>
          <w:szCs w:val="24"/>
        </w:rPr>
        <w:t xml:space="preserve">Durante il </w:t>
      </w:r>
      <w:r w:rsidR="00AD03DF">
        <w:rPr>
          <w:rFonts w:ascii="Times New Roman" w:hAnsi="Times New Roman" w:cs="Times New Roman"/>
          <w:sz w:val="24"/>
          <w:szCs w:val="24"/>
        </w:rPr>
        <w:t xml:space="preserve">planning </w:t>
      </w:r>
      <w:r w:rsidR="00AD03DF" w:rsidRPr="0084740F">
        <w:rPr>
          <w:rFonts w:ascii="Times New Roman" w:hAnsi="Times New Roman" w:cs="Times New Roman"/>
          <w:sz w:val="24"/>
          <w:szCs w:val="24"/>
        </w:rPr>
        <w:t>è</w:t>
      </w:r>
      <w:r w:rsidR="0084740F" w:rsidRPr="0084740F">
        <w:rPr>
          <w:rFonts w:ascii="Times New Roman" w:hAnsi="Times New Roman" w:cs="Times New Roman"/>
          <w:sz w:val="24"/>
          <w:szCs w:val="24"/>
        </w:rPr>
        <w:t xml:space="preserve"> imperativo determinare la sede osteotomica. Questo avviene attraverso l’accurata misurazione dell` MPTA, LDFA, JLCA. La correzione deve essere eseguita dove è localizzata la deformità.  Alcuni studi recenti hanno abolito il dogma della correzione a livello tibiale per il ginocchio varo e la correzione femorale per il ginocchio valgo.  Per ridurre il rischio di fallimento e insoddisfazione del paziente è necessario mantenere l’obliquità della linea articolare, preservando la Mikuliz -Joint Line. Il valore di riferimento e`di 90 gradi +/- </w:t>
      </w:r>
      <w:proofErr w:type="gramStart"/>
      <w:r w:rsidR="0084740F" w:rsidRPr="0084740F">
        <w:rPr>
          <w:rFonts w:ascii="Times New Roman" w:hAnsi="Times New Roman" w:cs="Times New Roman"/>
          <w:sz w:val="24"/>
          <w:szCs w:val="24"/>
        </w:rPr>
        <w:t>4 ,</w:t>
      </w:r>
      <w:proofErr w:type="gramEnd"/>
      <w:r w:rsidR="0084740F" w:rsidRPr="0084740F">
        <w:rPr>
          <w:rFonts w:ascii="Times New Roman" w:hAnsi="Times New Roman" w:cs="Times New Roman"/>
          <w:sz w:val="24"/>
          <w:szCs w:val="24"/>
        </w:rPr>
        <w:t xml:space="preserve"> altrimenti bisogna prendere in considerazione una osteotomia </w:t>
      </w:r>
      <w:r w:rsidR="00AD03DF">
        <w:rPr>
          <w:rFonts w:ascii="Times New Roman" w:hAnsi="Times New Roman" w:cs="Times New Roman"/>
          <w:sz w:val="24"/>
          <w:szCs w:val="24"/>
        </w:rPr>
        <w:t xml:space="preserve"> a </w:t>
      </w:r>
      <w:r w:rsidR="0084740F" w:rsidRPr="0084740F">
        <w:rPr>
          <w:rFonts w:ascii="Times New Roman" w:hAnsi="Times New Roman" w:cs="Times New Roman"/>
          <w:sz w:val="24"/>
          <w:szCs w:val="24"/>
        </w:rPr>
        <w:t xml:space="preserve">doppio livello. Questo studio dimostra l’importanza del preservare la linea articolare, ottenendo risultati </w:t>
      </w:r>
      <w:r w:rsidR="00AD03DF">
        <w:rPr>
          <w:rFonts w:ascii="Times New Roman" w:hAnsi="Times New Roman" w:cs="Times New Roman"/>
          <w:sz w:val="24"/>
          <w:szCs w:val="24"/>
        </w:rPr>
        <w:t>eccellenti.</w:t>
      </w:r>
    </w:p>
    <w:p w14:paraId="15A41F57" w14:textId="77777777" w:rsidR="0084740F" w:rsidRPr="0084740F" w:rsidRDefault="0084740F" w:rsidP="0084740F">
      <w:pPr>
        <w:jc w:val="both"/>
        <w:rPr>
          <w:rFonts w:ascii="Times New Roman" w:hAnsi="Times New Roman" w:cs="Times New Roman"/>
          <w:sz w:val="24"/>
          <w:szCs w:val="24"/>
        </w:rPr>
      </w:pPr>
    </w:p>
    <w:p w14:paraId="5452FAFC" w14:textId="77777777"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 xml:space="preserve">Background: Although general guidelines have been proposed for proximal tibial and supracondylar osteotomies, double level osteotomy provides the advantage of maintaining neutral joint-line obliquity in addition to correcting limb malalignment around the knee.  The correction of certain axial deformities in the coronal plane by means of a single osteotomy may result in excessive joint-line obliquity, thus increasing the shear stresses at the joint surface. The goal of this prospective study </w:t>
      </w:r>
      <w:r w:rsidRPr="0084740F">
        <w:rPr>
          <w:rFonts w:ascii="Times New Roman" w:hAnsi="Times New Roman" w:cs="Times New Roman"/>
          <w:sz w:val="24"/>
          <w:szCs w:val="24"/>
          <w:lang w:val="en-AU"/>
        </w:rPr>
        <w:lastRenderedPageBreak/>
        <w:t>was to determine the outcome of double level osteotomy of the knee performed after analysis with computer-aided preoperative planning software in patients with varus malalignment.</w:t>
      </w:r>
    </w:p>
    <w:p w14:paraId="0E738019" w14:textId="77777777"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Methods: Twenty-nine double level osteotomies of the knee were performed in twenty-four patients. The patients were followed for an average duration of 82.7 months (range, twenty-seven to 137 months). All knees had moderate-to-severe varus deformity and arthritis. The mean preoperative mechanical tibiofemoral angle was 193.9° (that is, 13.9° of varus). Preoperative and postoperative evaluations included clinical (scores according to the Knee Society system), radiographic, and computer-aided analysis of the mechanical status of the knee joint. Failure was defined as conversion of an osteotomy to a total knee arthroplasty or the presence of severe pain in a patient who declined arthroplasty.</w:t>
      </w:r>
    </w:p>
    <w:p w14:paraId="0005FDCD" w14:textId="77777777" w:rsidR="0084740F" w:rsidRPr="0084740F" w:rsidRDefault="0084740F" w:rsidP="0084740F">
      <w:pPr>
        <w:jc w:val="both"/>
        <w:rPr>
          <w:rFonts w:ascii="Times New Roman" w:hAnsi="Times New Roman" w:cs="Times New Roman"/>
          <w:sz w:val="24"/>
          <w:szCs w:val="24"/>
          <w:lang w:val="en-AU"/>
        </w:rPr>
      </w:pPr>
    </w:p>
    <w:p w14:paraId="00E6563A" w14:textId="35513339"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Fig 1</w:t>
      </w:r>
      <w:r w:rsidRPr="0084740F">
        <w:rPr>
          <w:rFonts w:ascii="Times New Roman" w:hAnsi="Times New Roman" w:cs="Times New Roman"/>
          <w:noProof/>
          <w:sz w:val="24"/>
          <w:szCs w:val="24"/>
          <w:lang w:val="en-AU"/>
        </w:rPr>
        <w:drawing>
          <wp:inline distT="0" distB="0" distL="0" distR="0" wp14:anchorId="684DB744" wp14:editId="7C345735">
            <wp:extent cx="934037" cy="1370869"/>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322" cy="1400641"/>
                    </a:xfrm>
                    <a:prstGeom prst="rect">
                      <a:avLst/>
                    </a:prstGeom>
                    <a:noFill/>
                    <a:ln>
                      <a:noFill/>
                    </a:ln>
                  </pic:spPr>
                </pic:pic>
              </a:graphicData>
            </a:graphic>
          </wp:inline>
        </w:drawing>
      </w:r>
      <w:r>
        <w:rPr>
          <w:rFonts w:ascii="Times New Roman" w:hAnsi="Times New Roman" w:cs="Times New Roman"/>
          <w:sz w:val="24"/>
          <w:szCs w:val="24"/>
          <w:lang w:val="en-AU"/>
        </w:rPr>
        <w:t xml:space="preserve"> </w:t>
      </w:r>
      <w:r w:rsidRPr="0084740F">
        <w:rPr>
          <w:rFonts w:ascii="Times New Roman" w:hAnsi="Times New Roman" w:cs="Times New Roman"/>
          <w:sz w:val="24"/>
          <w:szCs w:val="24"/>
          <w:lang w:val="en-AU"/>
        </w:rPr>
        <w:t xml:space="preserve">  Fig.2</w:t>
      </w:r>
      <w:r w:rsidRPr="0084740F">
        <w:rPr>
          <w:rFonts w:ascii="Times New Roman" w:hAnsi="Times New Roman" w:cs="Times New Roman"/>
          <w:noProof/>
          <w:sz w:val="24"/>
          <w:szCs w:val="24"/>
          <w:lang w:val="en-AU"/>
        </w:rPr>
        <w:drawing>
          <wp:inline distT="0" distB="0" distL="0" distR="0" wp14:anchorId="5B7219CD" wp14:editId="1D2259E8">
            <wp:extent cx="912361" cy="1370330"/>
            <wp:effectExtent l="0" t="0" r="254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2142" cy="1400040"/>
                    </a:xfrm>
                    <a:prstGeom prst="rect">
                      <a:avLst/>
                    </a:prstGeom>
                    <a:noFill/>
                    <a:ln>
                      <a:noFill/>
                    </a:ln>
                  </pic:spPr>
                </pic:pic>
              </a:graphicData>
            </a:graphic>
          </wp:inline>
        </w:drawing>
      </w:r>
      <w:r w:rsidRPr="0084740F">
        <w:rPr>
          <w:rFonts w:ascii="Times New Roman" w:hAnsi="Times New Roman" w:cs="Times New Roman"/>
          <w:sz w:val="24"/>
          <w:szCs w:val="24"/>
          <w:lang w:val="en-AU"/>
        </w:rPr>
        <w:t xml:space="preserve">  Fig.3</w:t>
      </w:r>
      <w:r>
        <w:rPr>
          <w:rFonts w:ascii="Times New Roman" w:hAnsi="Times New Roman" w:cs="Times New Roman"/>
          <w:sz w:val="24"/>
          <w:szCs w:val="24"/>
          <w:lang w:val="en-AU"/>
        </w:rPr>
        <w:t xml:space="preserve"> </w:t>
      </w:r>
      <w:r w:rsidRPr="0084740F">
        <w:rPr>
          <w:rFonts w:ascii="Times New Roman" w:hAnsi="Times New Roman" w:cs="Times New Roman"/>
          <w:noProof/>
          <w:sz w:val="24"/>
          <w:szCs w:val="24"/>
          <w:lang w:val="en-AU"/>
        </w:rPr>
        <w:drawing>
          <wp:inline distT="0" distB="0" distL="0" distR="0" wp14:anchorId="434FECAF" wp14:editId="56CB052C">
            <wp:extent cx="929530" cy="1366520"/>
            <wp:effectExtent l="0" t="0" r="4445"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0508" cy="1382659"/>
                    </a:xfrm>
                    <a:prstGeom prst="rect">
                      <a:avLst/>
                    </a:prstGeom>
                    <a:noFill/>
                    <a:ln>
                      <a:noFill/>
                    </a:ln>
                  </pic:spPr>
                </pic:pic>
              </a:graphicData>
            </a:graphic>
          </wp:inline>
        </w:drawing>
      </w:r>
      <w:r w:rsidRPr="0084740F">
        <w:rPr>
          <w:rFonts w:ascii="Times New Roman" w:hAnsi="Times New Roman" w:cs="Times New Roman"/>
          <w:sz w:val="24"/>
          <w:szCs w:val="24"/>
          <w:lang w:val="en-AU"/>
        </w:rPr>
        <w:t xml:space="preserve">  Fig.4  </w:t>
      </w:r>
      <w:r w:rsidRPr="0084740F">
        <w:rPr>
          <w:rFonts w:ascii="Times New Roman" w:hAnsi="Times New Roman" w:cs="Times New Roman"/>
          <w:noProof/>
          <w:sz w:val="24"/>
          <w:szCs w:val="24"/>
          <w:lang w:val="en-AU"/>
        </w:rPr>
        <w:drawing>
          <wp:inline distT="0" distB="0" distL="0" distR="0" wp14:anchorId="69E36848" wp14:editId="6EF48339">
            <wp:extent cx="1002621" cy="1370856"/>
            <wp:effectExtent l="0" t="0" r="762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4791" cy="1401169"/>
                    </a:xfrm>
                    <a:prstGeom prst="rect">
                      <a:avLst/>
                    </a:prstGeom>
                    <a:noFill/>
                    <a:ln>
                      <a:noFill/>
                    </a:ln>
                  </pic:spPr>
                </pic:pic>
              </a:graphicData>
            </a:graphic>
          </wp:inline>
        </w:drawing>
      </w:r>
    </w:p>
    <w:p w14:paraId="1F869DC1" w14:textId="77777777"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Fig.1, The computer-aided preoperative analysis of findings in the radiograph in Figure 1-A revealed that the right knee had 11º of mechanical varus deformity, 100% medial load distribution, and 1.5° of lateral inclination of the knee joint.</w:t>
      </w:r>
    </w:p>
    <w:p w14:paraId="0A5EBC77" w14:textId="77777777"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Fig.2 Simulation with the Osteotomy Analysis and Simulation Software (OASIS) predicted that a proximal tibial osteotomy would correct the alignment but would create an excessive (9°) lateral tilt in the knee joint and a large lateral overhang.</w:t>
      </w:r>
    </w:p>
    <w:p w14:paraId="6F70E4BD" w14:textId="77777777"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Fig.3 A preoperative simulation of a double osteotomy demonstrated optimal correction of the deformity (a tibiofemoral mechanical angle of 175º) with acceptable lateral inclination of the joint line (2.5°).</w:t>
      </w:r>
    </w:p>
    <w:p w14:paraId="590419C0" w14:textId="77777777"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Fig.4 The computer-aided analysis of the patient’s right knee, performed seven years postoperatively, showed 5.14° of valgus alignment, medial load distribution of 35%, and 57° of lateral inclination of the joint line.</w:t>
      </w:r>
    </w:p>
    <w:p w14:paraId="0D5CB498" w14:textId="77777777" w:rsidR="0084740F" w:rsidRPr="0084740F" w:rsidRDefault="0084740F" w:rsidP="0084740F">
      <w:pPr>
        <w:jc w:val="both"/>
        <w:rPr>
          <w:rFonts w:ascii="Times New Roman" w:hAnsi="Times New Roman" w:cs="Times New Roman"/>
          <w:sz w:val="24"/>
          <w:szCs w:val="24"/>
          <w:lang w:val="en-AU"/>
        </w:rPr>
      </w:pPr>
    </w:p>
    <w:p w14:paraId="3888D687" w14:textId="77777777" w:rsidR="0084740F" w:rsidRP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Results: The mean clinical and functional scores according to the Knee Society system improved from 34 and 64 points, respectively, before the osteotomy to 90 (p &lt; 0.0001) and 81 points (p = 0.079) at the time of the final follow-up examination. One patient was lost to follow-up. One of the twenty-nine knees was subsequently converted to total knee arthroplasty forty-nine months postoperatively. The cumulative rate of survival at 100 months was 96% (95% confidence interval, +4.5 to –8.7), with eight patients remaining at risk.</w:t>
      </w:r>
    </w:p>
    <w:p w14:paraId="5E1D89B5" w14:textId="75400504" w:rsidR="0084740F" w:rsidRDefault="0084740F" w:rsidP="0084740F">
      <w:pPr>
        <w:jc w:val="both"/>
        <w:rPr>
          <w:rFonts w:ascii="Times New Roman" w:hAnsi="Times New Roman" w:cs="Times New Roman"/>
          <w:sz w:val="24"/>
          <w:szCs w:val="24"/>
          <w:lang w:val="en-AU"/>
        </w:rPr>
      </w:pPr>
      <w:r w:rsidRPr="0084740F">
        <w:rPr>
          <w:rFonts w:ascii="Times New Roman" w:hAnsi="Times New Roman" w:cs="Times New Roman"/>
          <w:sz w:val="24"/>
          <w:szCs w:val="24"/>
          <w:lang w:val="en-AU"/>
        </w:rPr>
        <w:t>Conclusions: Double osteotomy is a valuable procedure for patients with such a large varus deformity that appropriate realignment and load transfer to the unaffected compartment, together with an acceptable joint-line obliquity, cannot be achieved by a single osteotomy.</w:t>
      </w:r>
    </w:p>
    <w:p w14:paraId="340D6A48" w14:textId="77777777" w:rsidR="00AD03DF" w:rsidRPr="0084740F" w:rsidRDefault="00AD03DF" w:rsidP="0084740F">
      <w:pPr>
        <w:jc w:val="both"/>
        <w:rPr>
          <w:rFonts w:ascii="Times New Roman" w:hAnsi="Times New Roman" w:cs="Times New Roman"/>
          <w:sz w:val="24"/>
          <w:szCs w:val="24"/>
          <w:lang w:val="en-AU"/>
        </w:rPr>
      </w:pPr>
    </w:p>
    <w:p w14:paraId="644DB323" w14:textId="1EDE72BB" w:rsidR="00921611" w:rsidRPr="000A0317" w:rsidRDefault="0020177C" w:rsidP="00130DB3">
      <w:pPr>
        <w:pStyle w:val="Paragrafoelenco"/>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Quale mezzo di sintesi utilizzare? Le</w:t>
      </w:r>
      <w:r w:rsidR="00921611" w:rsidRPr="000A0317">
        <w:rPr>
          <w:rFonts w:ascii="Times New Roman" w:hAnsi="Times New Roman" w:cs="Times New Roman"/>
          <w:sz w:val="24"/>
          <w:szCs w:val="24"/>
        </w:rPr>
        <w:t xml:space="preserve"> placche a </w:t>
      </w:r>
      <w:r w:rsidRPr="000A0317">
        <w:rPr>
          <w:rFonts w:ascii="Times New Roman" w:hAnsi="Times New Roman" w:cs="Times New Roman"/>
          <w:sz w:val="24"/>
          <w:szCs w:val="24"/>
        </w:rPr>
        <w:t>stabilità</w:t>
      </w:r>
      <w:r w:rsidR="00921611" w:rsidRPr="000A0317">
        <w:rPr>
          <w:rFonts w:ascii="Times New Roman" w:hAnsi="Times New Roman" w:cs="Times New Roman"/>
          <w:sz w:val="24"/>
          <w:szCs w:val="24"/>
        </w:rPr>
        <w:t xml:space="preserve"> angolare</w:t>
      </w:r>
    </w:p>
    <w:p w14:paraId="13DE2135" w14:textId="30E14FF0" w:rsidR="00921611" w:rsidRPr="00E4108C" w:rsidRDefault="00C9161B" w:rsidP="00604744">
      <w:pPr>
        <w:jc w:val="both"/>
        <w:rPr>
          <w:rFonts w:ascii="Times New Roman" w:hAnsi="Times New Roman" w:cs="Times New Roman"/>
          <w:sz w:val="24"/>
          <w:szCs w:val="24"/>
        </w:rPr>
      </w:pPr>
      <w:r w:rsidRPr="00C9161B">
        <w:rPr>
          <w:rFonts w:ascii="Times New Roman" w:hAnsi="Times New Roman" w:cs="Times New Roman"/>
          <w:sz w:val="24"/>
          <w:szCs w:val="24"/>
          <w:lang w:val="en-AU"/>
        </w:rPr>
        <w:t xml:space="preserve">Agneskirchner, J.D., Freiling, D., Hurschler, C. et al. Primary stability of four different implants for opening wedge high tibial osteotomy. </w:t>
      </w:r>
      <w:r w:rsidRPr="00E4108C">
        <w:rPr>
          <w:rFonts w:ascii="Times New Roman" w:hAnsi="Times New Roman" w:cs="Times New Roman"/>
          <w:sz w:val="24"/>
          <w:szCs w:val="24"/>
        </w:rPr>
        <w:t xml:space="preserve">Knee Surg Sports Traumatol Arthrosc 14, 291–300 (2006). </w:t>
      </w:r>
      <w:r w:rsidR="00E4108C">
        <w:fldChar w:fldCharType="begin"/>
      </w:r>
      <w:r w:rsidR="00E4108C">
        <w:instrText xml:space="preserve"> HYPERLINK "https://doi.org/10.1007/s00167-005-0690-1" </w:instrText>
      </w:r>
      <w:r w:rsidR="00E4108C">
        <w:fldChar w:fldCharType="separate"/>
      </w:r>
      <w:r w:rsidRPr="00E4108C">
        <w:rPr>
          <w:rStyle w:val="Collegamentoipertestuale"/>
          <w:rFonts w:ascii="Times New Roman" w:hAnsi="Times New Roman" w:cs="Times New Roman"/>
          <w:sz w:val="24"/>
          <w:szCs w:val="24"/>
        </w:rPr>
        <w:t>https://doi.org/10.1007/s00167-005-0690-1</w:t>
      </w:r>
      <w:r w:rsidR="00E4108C">
        <w:rPr>
          <w:rStyle w:val="Collegamentoipertestuale"/>
          <w:rFonts w:ascii="Times New Roman" w:hAnsi="Times New Roman" w:cs="Times New Roman"/>
          <w:sz w:val="24"/>
          <w:szCs w:val="24"/>
          <w:lang w:val="en-AU"/>
        </w:rPr>
        <w:fldChar w:fldCharType="end"/>
      </w:r>
    </w:p>
    <w:p w14:paraId="001D11D1" w14:textId="72531321" w:rsidR="00C9161B" w:rsidRPr="00E4108C" w:rsidRDefault="00C9161B" w:rsidP="00604744">
      <w:pPr>
        <w:jc w:val="both"/>
        <w:rPr>
          <w:rFonts w:ascii="Times New Roman" w:hAnsi="Times New Roman" w:cs="Times New Roman"/>
          <w:sz w:val="24"/>
          <w:szCs w:val="24"/>
        </w:rPr>
      </w:pPr>
    </w:p>
    <w:p w14:paraId="115389DC" w14:textId="5CB17BF5" w:rsidR="00DA23A5" w:rsidRDefault="00DA23A5" w:rsidP="00604744">
      <w:pPr>
        <w:jc w:val="both"/>
        <w:rPr>
          <w:rFonts w:ascii="Times New Roman" w:hAnsi="Times New Roman" w:cs="Times New Roman"/>
          <w:sz w:val="24"/>
          <w:szCs w:val="24"/>
        </w:rPr>
      </w:pPr>
      <w:r w:rsidRPr="00DA23A5">
        <w:rPr>
          <w:rFonts w:ascii="Times New Roman" w:hAnsi="Times New Roman" w:cs="Times New Roman"/>
          <w:sz w:val="24"/>
          <w:szCs w:val="24"/>
        </w:rPr>
        <w:t>Prima di procedere all’intervento</w:t>
      </w:r>
      <w:r>
        <w:rPr>
          <w:rFonts w:ascii="Times New Roman" w:hAnsi="Times New Roman" w:cs="Times New Roman"/>
          <w:sz w:val="24"/>
          <w:szCs w:val="24"/>
        </w:rPr>
        <w:t xml:space="preserve"> chirurgico,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consigliato scegliere un mezzo di sintesi adatto. </w:t>
      </w:r>
      <w:r w:rsidRPr="00DA23A5">
        <w:rPr>
          <w:rFonts w:ascii="Times New Roman" w:hAnsi="Times New Roman" w:cs="Times New Roman"/>
          <w:sz w:val="24"/>
          <w:szCs w:val="24"/>
        </w:rPr>
        <w:t>La scelta deve rispettare alcuni parametri quali: robustezza dell’impianto</w:t>
      </w:r>
      <w:r>
        <w:rPr>
          <w:rFonts w:ascii="Times New Roman" w:hAnsi="Times New Roman" w:cs="Times New Roman"/>
          <w:sz w:val="24"/>
          <w:szCs w:val="24"/>
        </w:rPr>
        <w:t xml:space="preserve">, stabilità del costrutto placca-viti-osteotomia, rispetto della biologia dell’osso favorendone la sua guarigione, aiuto del chirurgo in caso di complicanze intraoperatorie quali le fratture della cerniera laterale. </w:t>
      </w:r>
      <w:r w:rsidRPr="00DA23A5">
        <w:rPr>
          <w:rFonts w:ascii="Times New Roman" w:hAnsi="Times New Roman" w:cs="Times New Roman"/>
          <w:sz w:val="24"/>
          <w:szCs w:val="24"/>
        </w:rPr>
        <w:t>In questo studio si c</w:t>
      </w:r>
      <w:r>
        <w:rPr>
          <w:rFonts w:ascii="Times New Roman" w:hAnsi="Times New Roman" w:cs="Times New Roman"/>
          <w:sz w:val="24"/>
          <w:szCs w:val="24"/>
        </w:rPr>
        <w:t xml:space="preserve">onfrontano alcuni mezzi di sintesi ancora utilizzati oggi che hanno aperto le porte alle osteotomie in apertura tibiali e quelle in apertura e chiusura femorali. </w:t>
      </w:r>
    </w:p>
    <w:p w14:paraId="0D24895F" w14:textId="3458868A" w:rsidR="00DA23A5" w:rsidRPr="00DA23A5" w:rsidRDefault="00DA23A5" w:rsidP="00604744">
      <w:pPr>
        <w:jc w:val="both"/>
        <w:rPr>
          <w:rFonts w:ascii="Times New Roman" w:hAnsi="Times New Roman" w:cs="Times New Roman"/>
          <w:sz w:val="24"/>
          <w:szCs w:val="24"/>
        </w:rPr>
      </w:pPr>
      <w:r>
        <w:rPr>
          <w:rFonts w:ascii="Times New Roman" w:hAnsi="Times New Roman" w:cs="Times New Roman"/>
          <w:sz w:val="24"/>
          <w:szCs w:val="24"/>
        </w:rPr>
        <w:t xml:space="preserve"> </w:t>
      </w:r>
    </w:p>
    <w:p w14:paraId="1A529A91" w14:textId="15020ACC" w:rsidR="00DA23A5" w:rsidRDefault="00872294" w:rsidP="00604744">
      <w:pPr>
        <w:jc w:val="both"/>
        <w:rPr>
          <w:rFonts w:ascii="Times New Roman" w:hAnsi="Times New Roman" w:cs="Times New Roman"/>
          <w:sz w:val="24"/>
          <w:szCs w:val="24"/>
          <w:lang w:val="en-AU"/>
        </w:rPr>
      </w:pPr>
      <w:r w:rsidRPr="00604744">
        <w:rPr>
          <w:rFonts w:ascii="Times New Roman" w:hAnsi="Times New Roman" w:cs="Times New Roman"/>
          <w:sz w:val="24"/>
          <w:szCs w:val="24"/>
          <w:lang w:val="en-AU"/>
        </w:rPr>
        <w:t xml:space="preserve">Since a significant number of implant failures have been reported in association with the procedure of open wedge valgus high tibial osteotomy, the initial biomechanical stability of different fixation devices was investigated in this study. Fifteen third generation Sawbones composite tibiae were used as a model. Four different plates were tested: a short spacer plate (OWO) (n=4), a short spacer plate with multi-directional locking bolts (MSO) (n=5), a prototype version of a long spacer plate with multi-directional locking bolts (MSOnew) (n=2), and a long medial tibia plate fixator with locking bolts (MPF) (n=4). </w:t>
      </w:r>
    </w:p>
    <w:p w14:paraId="1F672A7D" w14:textId="53D5C51E" w:rsidR="00DA23A5" w:rsidRDefault="00DA23A5" w:rsidP="00604744">
      <w:pPr>
        <w:jc w:val="both"/>
        <w:rPr>
          <w:rFonts w:ascii="Times New Roman" w:hAnsi="Times New Roman" w:cs="Times New Roman"/>
          <w:sz w:val="24"/>
          <w:szCs w:val="24"/>
          <w:lang w:val="en-AU"/>
        </w:rPr>
      </w:pPr>
    </w:p>
    <w:p w14:paraId="4AF7E338" w14:textId="6B125841" w:rsidR="00DA23A5" w:rsidRDefault="00076EE7" w:rsidP="00604744">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 1 </w:t>
      </w:r>
      <w:r w:rsidRPr="00076EE7">
        <w:rPr>
          <w:rFonts w:ascii="Times New Roman" w:hAnsi="Times New Roman" w:cs="Times New Roman"/>
          <w:noProof/>
          <w:sz w:val="24"/>
          <w:szCs w:val="24"/>
          <w:lang w:val="en-AU"/>
        </w:rPr>
        <w:drawing>
          <wp:inline distT="0" distB="0" distL="0" distR="0" wp14:anchorId="401DCE05" wp14:editId="5C8F8E00">
            <wp:extent cx="1619048" cy="2152650"/>
            <wp:effectExtent l="0" t="0" r="63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647" cy="2156105"/>
                    </a:xfrm>
                    <a:prstGeom prst="rect">
                      <a:avLst/>
                    </a:prstGeom>
                    <a:noFill/>
                    <a:ln>
                      <a:noFill/>
                    </a:ln>
                  </pic:spPr>
                </pic:pic>
              </a:graphicData>
            </a:graphic>
          </wp:inline>
        </w:drawing>
      </w:r>
      <w:r>
        <w:rPr>
          <w:rFonts w:ascii="Times New Roman" w:hAnsi="Times New Roman" w:cs="Times New Roman"/>
          <w:sz w:val="24"/>
          <w:szCs w:val="24"/>
          <w:lang w:val="en-AU"/>
        </w:rPr>
        <w:t xml:space="preserve">   Fig. 2 </w:t>
      </w:r>
      <w:r w:rsidRPr="00076EE7">
        <w:rPr>
          <w:rFonts w:ascii="Times New Roman" w:hAnsi="Times New Roman" w:cs="Times New Roman"/>
          <w:noProof/>
          <w:sz w:val="24"/>
          <w:szCs w:val="24"/>
          <w:lang w:val="en-AU"/>
        </w:rPr>
        <w:drawing>
          <wp:inline distT="0" distB="0" distL="0" distR="0" wp14:anchorId="2DDF3E9A" wp14:editId="0A9354F7">
            <wp:extent cx="2381250" cy="1859911"/>
            <wp:effectExtent l="0" t="0" r="0"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279" cy="1866963"/>
                    </a:xfrm>
                    <a:prstGeom prst="rect">
                      <a:avLst/>
                    </a:prstGeom>
                    <a:noFill/>
                    <a:ln>
                      <a:noFill/>
                    </a:ln>
                  </pic:spPr>
                </pic:pic>
              </a:graphicData>
            </a:graphic>
          </wp:inline>
        </w:drawing>
      </w:r>
    </w:p>
    <w:p w14:paraId="63F2986A" w14:textId="77777777" w:rsidR="001E5CC6" w:rsidRDefault="001E5CC6" w:rsidP="00604744">
      <w:pPr>
        <w:jc w:val="both"/>
        <w:rPr>
          <w:rFonts w:ascii="Times New Roman" w:hAnsi="Times New Roman" w:cs="Times New Roman"/>
          <w:sz w:val="24"/>
          <w:szCs w:val="24"/>
          <w:lang w:val="en-AU"/>
        </w:rPr>
      </w:pPr>
    </w:p>
    <w:p w14:paraId="34408AB6" w14:textId="4CDEA8E4" w:rsidR="001E5CC6" w:rsidRDefault="001E5CC6" w:rsidP="001E5CC6">
      <w:pPr>
        <w:jc w:val="both"/>
        <w:rPr>
          <w:rFonts w:ascii="Times New Roman" w:hAnsi="Times New Roman" w:cs="Times New Roman"/>
          <w:sz w:val="24"/>
          <w:szCs w:val="24"/>
          <w:lang w:val="en-AU"/>
        </w:rPr>
      </w:pPr>
      <w:r>
        <w:rPr>
          <w:rFonts w:ascii="Times New Roman" w:hAnsi="Times New Roman" w:cs="Times New Roman"/>
          <w:sz w:val="24"/>
          <w:szCs w:val="24"/>
          <w:lang w:val="en-AU"/>
        </w:rPr>
        <w:t>Fig.</w:t>
      </w:r>
      <w:proofErr w:type="gramStart"/>
      <w:r>
        <w:rPr>
          <w:rFonts w:ascii="Times New Roman" w:hAnsi="Times New Roman" w:cs="Times New Roman"/>
          <w:sz w:val="24"/>
          <w:szCs w:val="24"/>
          <w:lang w:val="en-AU"/>
        </w:rPr>
        <w:t xml:space="preserve">1  </w:t>
      </w:r>
      <w:r w:rsidRPr="001E5CC6">
        <w:rPr>
          <w:rFonts w:ascii="Times New Roman" w:hAnsi="Times New Roman" w:cs="Times New Roman"/>
          <w:sz w:val="24"/>
          <w:szCs w:val="24"/>
          <w:lang w:val="en-AU"/>
        </w:rPr>
        <w:t>Linear</w:t>
      </w:r>
      <w:proofErr w:type="gramEnd"/>
      <w:r w:rsidRPr="001E5CC6">
        <w:rPr>
          <w:rFonts w:ascii="Times New Roman" w:hAnsi="Times New Roman" w:cs="Times New Roman"/>
          <w:sz w:val="24"/>
          <w:szCs w:val="24"/>
          <w:lang w:val="en-AU"/>
        </w:rPr>
        <w:t xml:space="preserve"> displacement transducers mounted medially and</w:t>
      </w:r>
      <w:r>
        <w:rPr>
          <w:rFonts w:ascii="Times New Roman" w:hAnsi="Times New Roman" w:cs="Times New Roman"/>
          <w:sz w:val="24"/>
          <w:szCs w:val="24"/>
          <w:lang w:val="en-AU"/>
        </w:rPr>
        <w:t xml:space="preserve"> </w:t>
      </w:r>
      <w:r w:rsidRPr="001E5CC6">
        <w:rPr>
          <w:rFonts w:ascii="Times New Roman" w:hAnsi="Times New Roman" w:cs="Times New Roman"/>
          <w:sz w:val="24"/>
          <w:szCs w:val="24"/>
          <w:lang w:val="en-AU"/>
        </w:rPr>
        <w:t>laterally between the proximal and distal segment of the osteotomy,</w:t>
      </w:r>
      <w:r>
        <w:rPr>
          <w:rFonts w:ascii="Times New Roman" w:hAnsi="Times New Roman" w:cs="Times New Roman"/>
          <w:sz w:val="24"/>
          <w:szCs w:val="24"/>
          <w:lang w:val="en-AU"/>
        </w:rPr>
        <w:t xml:space="preserve"> </w:t>
      </w:r>
      <w:r w:rsidRPr="001E5CC6">
        <w:rPr>
          <w:rFonts w:ascii="Times New Roman" w:hAnsi="Times New Roman" w:cs="Times New Roman"/>
          <w:sz w:val="24"/>
          <w:szCs w:val="24"/>
          <w:lang w:val="en-AU"/>
        </w:rPr>
        <w:t>used for continuous measuring of the motion at the osteotomy gap</w:t>
      </w:r>
      <w:r>
        <w:rPr>
          <w:rFonts w:ascii="Times New Roman" w:hAnsi="Times New Roman" w:cs="Times New Roman"/>
          <w:sz w:val="24"/>
          <w:szCs w:val="24"/>
          <w:lang w:val="en-AU"/>
        </w:rPr>
        <w:t xml:space="preserve"> </w:t>
      </w:r>
      <w:r w:rsidRPr="001E5CC6">
        <w:rPr>
          <w:rFonts w:ascii="Times New Roman" w:hAnsi="Times New Roman" w:cs="Times New Roman"/>
          <w:sz w:val="24"/>
          <w:szCs w:val="24"/>
          <w:lang w:val="en-AU"/>
        </w:rPr>
        <w:t>during the loading (specimen with OWO)</w:t>
      </w:r>
      <w:r>
        <w:rPr>
          <w:rFonts w:ascii="Times New Roman" w:hAnsi="Times New Roman" w:cs="Times New Roman"/>
          <w:sz w:val="24"/>
          <w:szCs w:val="24"/>
          <w:lang w:val="en-AU"/>
        </w:rPr>
        <w:t>.</w:t>
      </w:r>
    </w:p>
    <w:p w14:paraId="213BFBE6" w14:textId="4A72A65F" w:rsidR="00DA23A5" w:rsidRDefault="001E5CC6" w:rsidP="001E5CC6">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Fig.2 </w:t>
      </w:r>
      <w:r w:rsidRPr="001E5CC6">
        <w:rPr>
          <w:rFonts w:ascii="Times New Roman" w:hAnsi="Times New Roman" w:cs="Times New Roman"/>
          <w:sz w:val="24"/>
          <w:szCs w:val="24"/>
          <w:lang w:val="en-AU"/>
        </w:rPr>
        <w:t>Tested implants: short place plate without locking bolts</w:t>
      </w:r>
      <w:r>
        <w:rPr>
          <w:rFonts w:ascii="Times New Roman" w:hAnsi="Times New Roman" w:cs="Times New Roman"/>
          <w:sz w:val="24"/>
          <w:szCs w:val="24"/>
          <w:lang w:val="en-AU"/>
        </w:rPr>
        <w:t xml:space="preserve"> </w:t>
      </w:r>
      <w:r w:rsidRPr="001E5CC6">
        <w:rPr>
          <w:rFonts w:ascii="Times New Roman" w:hAnsi="Times New Roman" w:cs="Times New Roman"/>
          <w:sz w:val="24"/>
          <w:szCs w:val="24"/>
          <w:lang w:val="en-AU"/>
        </w:rPr>
        <w:t>(OWO), short spacer plate with multi-directionally insertable</w:t>
      </w:r>
      <w:r>
        <w:rPr>
          <w:rFonts w:ascii="Times New Roman" w:hAnsi="Times New Roman" w:cs="Times New Roman"/>
          <w:sz w:val="24"/>
          <w:szCs w:val="24"/>
          <w:lang w:val="en-AU"/>
        </w:rPr>
        <w:t xml:space="preserve"> </w:t>
      </w:r>
      <w:r w:rsidRPr="001E5CC6">
        <w:rPr>
          <w:rFonts w:ascii="Times New Roman" w:hAnsi="Times New Roman" w:cs="Times New Roman"/>
          <w:sz w:val="24"/>
          <w:szCs w:val="24"/>
          <w:lang w:val="en-AU"/>
        </w:rPr>
        <w:t>locking bolts (MSO), long spacer plate with multi-directionally</w:t>
      </w:r>
      <w:r>
        <w:rPr>
          <w:rFonts w:ascii="Times New Roman" w:hAnsi="Times New Roman" w:cs="Times New Roman"/>
          <w:sz w:val="24"/>
          <w:szCs w:val="24"/>
          <w:lang w:val="en-AU"/>
        </w:rPr>
        <w:t xml:space="preserve"> </w:t>
      </w:r>
      <w:r w:rsidRPr="001E5CC6">
        <w:rPr>
          <w:rFonts w:ascii="Times New Roman" w:hAnsi="Times New Roman" w:cs="Times New Roman"/>
          <w:sz w:val="24"/>
          <w:szCs w:val="24"/>
          <w:lang w:val="en-AU"/>
        </w:rPr>
        <w:t>insertable locking bolts (MSOnew), rigid long medial tibial plate</w:t>
      </w:r>
      <w:r>
        <w:rPr>
          <w:rFonts w:ascii="Times New Roman" w:hAnsi="Times New Roman" w:cs="Times New Roman"/>
          <w:sz w:val="24"/>
          <w:szCs w:val="24"/>
          <w:lang w:val="en-AU"/>
        </w:rPr>
        <w:t xml:space="preserve"> </w:t>
      </w:r>
      <w:r w:rsidRPr="001E5CC6">
        <w:rPr>
          <w:rFonts w:ascii="Times New Roman" w:hAnsi="Times New Roman" w:cs="Times New Roman"/>
          <w:sz w:val="24"/>
          <w:szCs w:val="24"/>
          <w:lang w:val="en-AU"/>
        </w:rPr>
        <w:t>fixator with locking bolts (MPF)</w:t>
      </w:r>
      <w:r>
        <w:rPr>
          <w:rFonts w:ascii="Times New Roman" w:hAnsi="Times New Roman" w:cs="Times New Roman"/>
          <w:sz w:val="24"/>
          <w:szCs w:val="24"/>
          <w:lang w:val="en-AU"/>
        </w:rPr>
        <w:t>.</w:t>
      </w:r>
    </w:p>
    <w:p w14:paraId="23161E44" w14:textId="2293E89A" w:rsidR="00DA23A5" w:rsidRDefault="00DA23A5" w:rsidP="00604744">
      <w:pPr>
        <w:jc w:val="both"/>
        <w:rPr>
          <w:rFonts w:ascii="Times New Roman" w:hAnsi="Times New Roman" w:cs="Times New Roman"/>
          <w:sz w:val="24"/>
          <w:szCs w:val="24"/>
          <w:lang w:val="en-AU"/>
        </w:rPr>
      </w:pPr>
    </w:p>
    <w:p w14:paraId="1F4F23E1" w14:textId="3A20309A" w:rsidR="00DA23A5" w:rsidRDefault="00DA23A5" w:rsidP="00604744">
      <w:pPr>
        <w:jc w:val="both"/>
        <w:rPr>
          <w:rFonts w:ascii="Times New Roman" w:hAnsi="Times New Roman" w:cs="Times New Roman"/>
          <w:sz w:val="24"/>
          <w:szCs w:val="24"/>
          <w:lang w:val="en-AU"/>
        </w:rPr>
      </w:pPr>
    </w:p>
    <w:p w14:paraId="7FF550D1" w14:textId="77777777" w:rsidR="00DA23A5" w:rsidRDefault="00DA23A5" w:rsidP="00604744">
      <w:pPr>
        <w:jc w:val="both"/>
        <w:rPr>
          <w:rFonts w:ascii="Times New Roman" w:hAnsi="Times New Roman" w:cs="Times New Roman"/>
          <w:sz w:val="24"/>
          <w:szCs w:val="24"/>
          <w:lang w:val="en-AU"/>
        </w:rPr>
      </w:pPr>
    </w:p>
    <w:p w14:paraId="5D7F66DE" w14:textId="77777777" w:rsidR="001E5CC6" w:rsidRDefault="00872294" w:rsidP="00604744">
      <w:pPr>
        <w:jc w:val="both"/>
        <w:rPr>
          <w:rFonts w:ascii="Times New Roman" w:hAnsi="Times New Roman" w:cs="Times New Roman"/>
          <w:sz w:val="24"/>
          <w:szCs w:val="24"/>
          <w:lang w:val="en-AU"/>
        </w:rPr>
      </w:pPr>
      <w:r w:rsidRPr="00604744">
        <w:rPr>
          <w:rFonts w:ascii="Times New Roman" w:hAnsi="Times New Roman" w:cs="Times New Roman"/>
          <w:sz w:val="24"/>
          <w:szCs w:val="24"/>
          <w:lang w:val="en-AU"/>
        </w:rPr>
        <w:t xml:space="preserve">All opening wedge osteotomies were performed by the same surgeon (PL) in a standardized fashion. Axial compression of the tibiae was performed using a </w:t>
      </w:r>
      <w:r w:rsidR="0020177C" w:rsidRPr="00604744">
        <w:rPr>
          <w:rFonts w:ascii="Times New Roman" w:hAnsi="Times New Roman" w:cs="Times New Roman"/>
          <w:sz w:val="24"/>
          <w:szCs w:val="24"/>
          <w:lang w:val="en-AU"/>
        </w:rPr>
        <w:t>material</w:t>
      </w:r>
      <w:r w:rsidRPr="00604744">
        <w:rPr>
          <w:rFonts w:ascii="Times New Roman" w:hAnsi="Times New Roman" w:cs="Times New Roman"/>
          <w:sz w:val="24"/>
          <w:szCs w:val="24"/>
          <w:lang w:val="en-AU"/>
        </w:rPr>
        <w:t xml:space="preserve"> testing machine under standardized alignment of the loading axis. Single load to failure tests as well as load-controlled cyclical failure tests were performed. The required force and cycles to failure were recorded. Osteotomy gap motion was measured using linear displacement transducers. Residual stability after failure of the opposite lateral cortex was analysed. Failure occurred at the lateral cortex bone-bride in all tested implants. The rigid long plate fixator (MPF) resisted the greatest amount of force (2,881 N) in the single load to failure tests. In the cyclical load-to-failure tests, the constructs with MPF resisted more than twice the amount of loading cycles when compared to the short spacer plates. The osteotomy gap motion was smallest in the MPF, with a reduction of the displacements of up to 65, 66 and 88%, when compared to OWO, MSO and MSOnew, respectively. </w:t>
      </w:r>
    </w:p>
    <w:p w14:paraId="67446B14" w14:textId="46CCBACD" w:rsidR="001E5CC6" w:rsidRDefault="001E5CC6" w:rsidP="00604744">
      <w:pPr>
        <w:jc w:val="both"/>
        <w:rPr>
          <w:rFonts w:ascii="Times New Roman" w:hAnsi="Times New Roman" w:cs="Times New Roman"/>
          <w:sz w:val="24"/>
          <w:szCs w:val="24"/>
          <w:lang w:val="en-AU"/>
        </w:rPr>
      </w:pPr>
    </w:p>
    <w:p w14:paraId="372730D3" w14:textId="52454402" w:rsidR="001E5CC6" w:rsidRDefault="00CC192D" w:rsidP="001E5CC6">
      <w:pPr>
        <w:jc w:val="center"/>
        <w:rPr>
          <w:rFonts w:ascii="Times New Roman" w:hAnsi="Times New Roman" w:cs="Times New Roman"/>
          <w:sz w:val="24"/>
          <w:szCs w:val="24"/>
          <w:lang w:val="en-AU"/>
        </w:rPr>
      </w:pPr>
      <w:r>
        <w:rPr>
          <w:rFonts w:ascii="Times New Roman" w:hAnsi="Times New Roman" w:cs="Times New Roman"/>
          <w:sz w:val="24"/>
          <w:szCs w:val="24"/>
          <w:lang w:val="en-AU"/>
        </w:rPr>
        <w:t>Fig.3</w:t>
      </w:r>
      <w:r w:rsidR="001E5CC6" w:rsidRPr="001E5CC6">
        <w:rPr>
          <w:rFonts w:ascii="Times New Roman" w:hAnsi="Times New Roman" w:cs="Times New Roman"/>
          <w:noProof/>
          <w:sz w:val="24"/>
          <w:szCs w:val="24"/>
          <w:lang w:val="en-AU"/>
        </w:rPr>
        <w:drawing>
          <wp:inline distT="0" distB="0" distL="0" distR="0" wp14:anchorId="443FEDED" wp14:editId="5A5839C4">
            <wp:extent cx="5215255" cy="1496721"/>
            <wp:effectExtent l="0" t="0" r="4445" b="82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6220" cy="1496998"/>
                    </a:xfrm>
                    <a:prstGeom prst="rect">
                      <a:avLst/>
                    </a:prstGeom>
                    <a:noFill/>
                    <a:ln>
                      <a:noFill/>
                    </a:ln>
                  </pic:spPr>
                </pic:pic>
              </a:graphicData>
            </a:graphic>
          </wp:inline>
        </w:drawing>
      </w:r>
    </w:p>
    <w:p w14:paraId="20FE336E" w14:textId="5D76F80C" w:rsidR="001E5CC6" w:rsidRDefault="00CC192D" w:rsidP="00CC192D">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Fig.3: </w:t>
      </w:r>
      <w:r w:rsidRPr="00CC192D">
        <w:rPr>
          <w:rFonts w:ascii="Times New Roman" w:hAnsi="Times New Roman" w:cs="Times New Roman"/>
          <w:sz w:val="24"/>
          <w:szCs w:val="24"/>
          <w:lang w:val="en-AU"/>
        </w:rPr>
        <w:t xml:space="preserve">Average of maximum displacements at </w:t>
      </w:r>
      <w:r w:rsidRPr="00CC192D">
        <w:rPr>
          <w:rFonts w:ascii="Times New Roman" w:hAnsi="Times New Roman" w:cs="Times New Roman"/>
          <w:b/>
          <w:bCs/>
          <w:sz w:val="24"/>
          <w:szCs w:val="24"/>
          <w:lang w:val="en-AU"/>
        </w:rPr>
        <w:t>a</w:t>
      </w:r>
      <w:r w:rsidRPr="00CC192D">
        <w:rPr>
          <w:rFonts w:ascii="Times New Roman" w:hAnsi="Times New Roman" w:cs="Times New Roman"/>
          <w:sz w:val="24"/>
          <w:szCs w:val="24"/>
          <w:lang w:val="en-AU"/>
        </w:rPr>
        <w:t xml:space="preserve"> medial and </w:t>
      </w:r>
      <w:r w:rsidRPr="00CC192D">
        <w:rPr>
          <w:rFonts w:ascii="Times New Roman" w:hAnsi="Times New Roman" w:cs="Times New Roman"/>
          <w:b/>
          <w:bCs/>
          <w:sz w:val="24"/>
          <w:szCs w:val="24"/>
          <w:lang w:val="en-AU"/>
        </w:rPr>
        <w:t>b</w:t>
      </w:r>
      <w:r>
        <w:rPr>
          <w:rFonts w:ascii="Times New Roman" w:hAnsi="Times New Roman" w:cs="Times New Roman"/>
          <w:sz w:val="24"/>
          <w:szCs w:val="24"/>
          <w:lang w:val="en-AU"/>
        </w:rPr>
        <w:t xml:space="preserve"> </w:t>
      </w:r>
      <w:r w:rsidRPr="00CC192D">
        <w:rPr>
          <w:rFonts w:ascii="Times New Roman" w:hAnsi="Times New Roman" w:cs="Times New Roman"/>
          <w:sz w:val="24"/>
          <w:szCs w:val="24"/>
          <w:lang w:val="en-AU"/>
        </w:rPr>
        <w:t>lateral osteotomy gap at different loading levels during the cyclical</w:t>
      </w:r>
      <w:r>
        <w:rPr>
          <w:rFonts w:ascii="Times New Roman" w:hAnsi="Times New Roman" w:cs="Times New Roman"/>
          <w:sz w:val="24"/>
          <w:szCs w:val="24"/>
          <w:lang w:val="en-AU"/>
        </w:rPr>
        <w:t xml:space="preserve"> </w:t>
      </w:r>
      <w:r w:rsidRPr="00CC192D">
        <w:rPr>
          <w:rFonts w:ascii="Times New Roman" w:hAnsi="Times New Roman" w:cs="Times New Roman"/>
          <w:sz w:val="24"/>
          <w:szCs w:val="24"/>
          <w:lang w:val="en-AU"/>
        </w:rPr>
        <w:t>load-to-failure tests</w:t>
      </w:r>
      <w:r>
        <w:rPr>
          <w:rFonts w:ascii="Times New Roman" w:hAnsi="Times New Roman" w:cs="Times New Roman"/>
          <w:sz w:val="24"/>
          <w:szCs w:val="24"/>
          <w:lang w:val="en-AU"/>
        </w:rPr>
        <w:t>.</w:t>
      </w:r>
    </w:p>
    <w:p w14:paraId="6A60E20B" w14:textId="7B9A3DDE" w:rsidR="00872294" w:rsidRPr="00604744" w:rsidRDefault="00872294" w:rsidP="00604744">
      <w:pPr>
        <w:jc w:val="both"/>
        <w:rPr>
          <w:rFonts w:ascii="Times New Roman" w:hAnsi="Times New Roman" w:cs="Times New Roman"/>
          <w:sz w:val="24"/>
          <w:szCs w:val="24"/>
          <w:lang w:val="en-AU"/>
        </w:rPr>
      </w:pPr>
      <w:r w:rsidRPr="00604744">
        <w:rPr>
          <w:rFonts w:ascii="Times New Roman" w:hAnsi="Times New Roman" w:cs="Times New Roman"/>
          <w:sz w:val="24"/>
          <w:szCs w:val="24"/>
          <w:lang w:val="en-AU"/>
        </w:rPr>
        <w:t>The highest residual stability after failure of the lateral cortex was observed in MPF as well. The results suggest that the implant design strongly influences the primary stability of medial opening wedge tibial osteotomy. A rigid long plate fixator with angle-stable locking bolts yields the best results.</w:t>
      </w:r>
    </w:p>
    <w:p w14:paraId="41EB9044" w14:textId="3816D7D3" w:rsidR="00872294" w:rsidRDefault="00872294" w:rsidP="00604744">
      <w:pPr>
        <w:jc w:val="both"/>
        <w:rPr>
          <w:rFonts w:ascii="Times New Roman" w:hAnsi="Times New Roman" w:cs="Times New Roman"/>
          <w:sz w:val="24"/>
          <w:szCs w:val="24"/>
          <w:lang w:val="en-AU"/>
        </w:rPr>
      </w:pPr>
    </w:p>
    <w:p w14:paraId="5F628FF8" w14:textId="633A0086" w:rsidR="00CC192D" w:rsidRDefault="00CC192D" w:rsidP="00604744">
      <w:pPr>
        <w:jc w:val="both"/>
        <w:rPr>
          <w:rFonts w:ascii="Times New Roman" w:hAnsi="Times New Roman" w:cs="Times New Roman"/>
          <w:sz w:val="24"/>
          <w:szCs w:val="24"/>
          <w:lang w:val="en-AU"/>
        </w:rPr>
      </w:pPr>
    </w:p>
    <w:p w14:paraId="4332EFF1" w14:textId="142BD389" w:rsidR="00CC192D" w:rsidRDefault="00CC192D" w:rsidP="00604744">
      <w:pPr>
        <w:jc w:val="both"/>
        <w:rPr>
          <w:rFonts w:ascii="Times New Roman" w:hAnsi="Times New Roman" w:cs="Times New Roman"/>
          <w:sz w:val="24"/>
          <w:szCs w:val="24"/>
          <w:lang w:val="en-AU"/>
        </w:rPr>
      </w:pPr>
    </w:p>
    <w:p w14:paraId="705EE038" w14:textId="02CCC00E" w:rsidR="00CC192D" w:rsidRDefault="00CC192D" w:rsidP="00604744">
      <w:pPr>
        <w:jc w:val="both"/>
        <w:rPr>
          <w:rFonts w:ascii="Times New Roman" w:hAnsi="Times New Roman" w:cs="Times New Roman"/>
          <w:sz w:val="24"/>
          <w:szCs w:val="24"/>
          <w:lang w:val="en-AU"/>
        </w:rPr>
      </w:pPr>
    </w:p>
    <w:p w14:paraId="03F0885F" w14:textId="3DAC493B" w:rsidR="00CC192D" w:rsidRDefault="00CC192D" w:rsidP="00604744">
      <w:pPr>
        <w:jc w:val="both"/>
        <w:rPr>
          <w:rFonts w:ascii="Times New Roman" w:hAnsi="Times New Roman" w:cs="Times New Roman"/>
          <w:sz w:val="24"/>
          <w:szCs w:val="24"/>
          <w:lang w:val="en-AU"/>
        </w:rPr>
      </w:pPr>
    </w:p>
    <w:p w14:paraId="1582270E" w14:textId="3D210B58" w:rsidR="00CC192D" w:rsidRDefault="00CC192D" w:rsidP="00604744">
      <w:pPr>
        <w:jc w:val="both"/>
        <w:rPr>
          <w:rFonts w:ascii="Times New Roman" w:hAnsi="Times New Roman" w:cs="Times New Roman"/>
          <w:sz w:val="24"/>
          <w:szCs w:val="24"/>
          <w:lang w:val="en-AU"/>
        </w:rPr>
      </w:pPr>
    </w:p>
    <w:p w14:paraId="37BCFED8" w14:textId="68897012" w:rsidR="00CC192D" w:rsidRDefault="00CC192D" w:rsidP="00604744">
      <w:pPr>
        <w:jc w:val="both"/>
        <w:rPr>
          <w:rFonts w:ascii="Times New Roman" w:hAnsi="Times New Roman" w:cs="Times New Roman"/>
          <w:sz w:val="24"/>
          <w:szCs w:val="24"/>
          <w:lang w:val="en-AU"/>
        </w:rPr>
      </w:pPr>
    </w:p>
    <w:p w14:paraId="7B9D46F1" w14:textId="5BB774AC" w:rsidR="00CC192D" w:rsidRDefault="00CC192D" w:rsidP="00604744">
      <w:pPr>
        <w:jc w:val="both"/>
        <w:rPr>
          <w:rFonts w:ascii="Times New Roman" w:hAnsi="Times New Roman" w:cs="Times New Roman"/>
          <w:sz w:val="24"/>
          <w:szCs w:val="24"/>
          <w:lang w:val="en-AU"/>
        </w:rPr>
      </w:pPr>
    </w:p>
    <w:p w14:paraId="2803E4B2" w14:textId="38693DF5" w:rsidR="00CC192D" w:rsidRDefault="00CC192D" w:rsidP="00604744">
      <w:pPr>
        <w:jc w:val="both"/>
        <w:rPr>
          <w:rFonts w:ascii="Times New Roman" w:hAnsi="Times New Roman" w:cs="Times New Roman"/>
          <w:sz w:val="24"/>
          <w:szCs w:val="24"/>
          <w:lang w:val="en-AU"/>
        </w:rPr>
      </w:pPr>
    </w:p>
    <w:p w14:paraId="387AA9CF" w14:textId="77777777" w:rsidR="00CC192D" w:rsidRPr="00604744" w:rsidRDefault="00CC192D" w:rsidP="00604744">
      <w:pPr>
        <w:jc w:val="both"/>
        <w:rPr>
          <w:rFonts w:ascii="Times New Roman" w:hAnsi="Times New Roman" w:cs="Times New Roman"/>
          <w:sz w:val="24"/>
          <w:szCs w:val="24"/>
          <w:lang w:val="en-AU"/>
        </w:rPr>
      </w:pPr>
    </w:p>
    <w:p w14:paraId="7A85298D" w14:textId="77777777" w:rsidR="00872294" w:rsidRPr="00604744" w:rsidRDefault="00872294" w:rsidP="00604744">
      <w:pPr>
        <w:jc w:val="both"/>
        <w:rPr>
          <w:rFonts w:ascii="Times New Roman" w:hAnsi="Times New Roman" w:cs="Times New Roman"/>
          <w:sz w:val="24"/>
          <w:szCs w:val="24"/>
          <w:lang w:val="en-AU"/>
        </w:rPr>
      </w:pPr>
    </w:p>
    <w:p w14:paraId="378642F6" w14:textId="3E890EDB" w:rsidR="00921611" w:rsidRPr="000A0317" w:rsidRDefault="00783567" w:rsidP="00130DB3">
      <w:pPr>
        <w:pStyle w:val="Paragrafoelenco"/>
        <w:numPr>
          <w:ilvl w:val="0"/>
          <w:numId w:val="7"/>
        </w:numPr>
        <w:jc w:val="both"/>
        <w:rPr>
          <w:rFonts w:ascii="Times New Roman" w:hAnsi="Times New Roman" w:cs="Times New Roman"/>
          <w:sz w:val="24"/>
          <w:szCs w:val="24"/>
          <w:lang w:val="en-AU"/>
        </w:rPr>
      </w:pPr>
      <w:r w:rsidRPr="000A0317">
        <w:rPr>
          <w:rFonts w:ascii="Times New Roman" w:hAnsi="Times New Roman" w:cs="Times New Roman"/>
          <w:sz w:val="24"/>
          <w:szCs w:val="24"/>
          <w:lang w:val="en-AU"/>
        </w:rPr>
        <w:lastRenderedPageBreak/>
        <w:t xml:space="preserve">Stephanie </w:t>
      </w:r>
      <w:r w:rsidR="0020177C" w:rsidRPr="000A0317">
        <w:rPr>
          <w:rFonts w:ascii="Times New Roman" w:hAnsi="Times New Roman" w:cs="Times New Roman"/>
          <w:sz w:val="24"/>
          <w:szCs w:val="24"/>
          <w:lang w:val="en-AU"/>
        </w:rPr>
        <w:t>Floerkemeier, Alex</w:t>
      </w:r>
      <w:r w:rsidRPr="000A0317">
        <w:rPr>
          <w:rFonts w:ascii="Times New Roman" w:hAnsi="Times New Roman" w:cs="Times New Roman"/>
          <w:sz w:val="24"/>
          <w:szCs w:val="24"/>
          <w:lang w:val="en-AU"/>
        </w:rPr>
        <w:t xml:space="preserve"> E. Staubli, Steffen </w:t>
      </w:r>
      <w:proofErr w:type="gramStart"/>
      <w:r w:rsidRPr="000A0317">
        <w:rPr>
          <w:rFonts w:ascii="Times New Roman" w:hAnsi="Times New Roman" w:cs="Times New Roman"/>
          <w:sz w:val="24"/>
          <w:szCs w:val="24"/>
          <w:lang w:val="en-AU"/>
        </w:rPr>
        <w:t>Schroeter ,</w:t>
      </w:r>
      <w:proofErr w:type="gramEnd"/>
      <w:r w:rsidRPr="000A0317">
        <w:rPr>
          <w:rFonts w:ascii="Times New Roman" w:hAnsi="Times New Roman" w:cs="Times New Roman"/>
          <w:sz w:val="24"/>
          <w:szCs w:val="24"/>
          <w:lang w:val="en-AU"/>
        </w:rPr>
        <w:t xml:space="preserve"> Sabine Goldhahn, Philipp Lobenhoffer  </w:t>
      </w:r>
      <w:r w:rsidR="004B790E" w:rsidRPr="000A0317">
        <w:rPr>
          <w:rFonts w:ascii="Times New Roman" w:hAnsi="Times New Roman" w:cs="Times New Roman"/>
          <w:sz w:val="24"/>
          <w:szCs w:val="24"/>
          <w:lang w:val="en-AU"/>
        </w:rPr>
        <w:t>Outcome after high tibial open-wedge osteotomy: a retrospective evaluation of 533 patients  Knee Surg Sports Traumatol Arthrosc (2013) 21:170–180 DOI 10.1007/s00167-012-2087-2</w:t>
      </w:r>
    </w:p>
    <w:p w14:paraId="3DE36498" w14:textId="5796F9C7" w:rsidR="00783567" w:rsidRDefault="00783567" w:rsidP="00783567">
      <w:pPr>
        <w:jc w:val="both"/>
        <w:rPr>
          <w:rFonts w:ascii="Times New Roman" w:hAnsi="Times New Roman" w:cs="Times New Roman"/>
          <w:sz w:val="24"/>
          <w:szCs w:val="24"/>
          <w:lang w:val="en-AU"/>
        </w:rPr>
      </w:pPr>
    </w:p>
    <w:p w14:paraId="1B8E80D9" w14:textId="404DC764" w:rsidR="000A09BC" w:rsidRDefault="008566E1" w:rsidP="00783567">
      <w:pPr>
        <w:jc w:val="both"/>
        <w:rPr>
          <w:rFonts w:ascii="Times New Roman" w:hAnsi="Times New Roman" w:cs="Times New Roman"/>
          <w:sz w:val="24"/>
          <w:szCs w:val="24"/>
        </w:rPr>
      </w:pPr>
      <w:r w:rsidRPr="008566E1">
        <w:rPr>
          <w:rFonts w:ascii="Times New Roman" w:hAnsi="Times New Roman" w:cs="Times New Roman"/>
          <w:sz w:val="24"/>
          <w:szCs w:val="24"/>
        </w:rPr>
        <w:t xml:space="preserve">Giunge quindi il momento </w:t>
      </w:r>
      <w:r w:rsidR="000A09BC" w:rsidRPr="008566E1">
        <w:rPr>
          <w:rFonts w:ascii="Times New Roman" w:hAnsi="Times New Roman" w:cs="Times New Roman"/>
          <w:sz w:val="24"/>
          <w:szCs w:val="24"/>
        </w:rPr>
        <w:t>d</w:t>
      </w:r>
      <w:r w:rsidR="000A09BC">
        <w:rPr>
          <w:rFonts w:ascii="Times New Roman" w:hAnsi="Times New Roman" w:cs="Times New Roman"/>
          <w:sz w:val="24"/>
          <w:szCs w:val="24"/>
        </w:rPr>
        <w:t>ell’intervento</w:t>
      </w:r>
      <w:r>
        <w:rPr>
          <w:rFonts w:ascii="Times New Roman" w:hAnsi="Times New Roman" w:cs="Times New Roman"/>
          <w:sz w:val="24"/>
          <w:szCs w:val="24"/>
        </w:rPr>
        <w:t xml:space="preserve"> chirurgico</w:t>
      </w:r>
      <w:r w:rsidR="000A09BC">
        <w:rPr>
          <w:rFonts w:ascii="Times New Roman" w:hAnsi="Times New Roman" w:cs="Times New Roman"/>
          <w:sz w:val="24"/>
          <w:szCs w:val="24"/>
        </w:rPr>
        <w:t xml:space="preserve"> dopo aver dato la corretta</w:t>
      </w:r>
      <w:r>
        <w:rPr>
          <w:rFonts w:ascii="Times New Roman" w:hAnsi="Times New Roman" w:cs="Times New Roman"/>
          <w:sz w:val="24"/>
          <w:szCs w:val="24"/>
        </w:rPr>
        <w:t xml:space="preserve"> indicazione, pianifica</w:t>
      </w:r>
      <w:r w:rsidR="000A09BC">
        <w:rPr>
          <w:rFonts w:ascii="Times New Roman" w:hAnsi="Times New Roman" w:cs="Times New Roman"/>
          <w:sz w:val="24"/>
          <w:szCs w:val="24"/>
        </w:rPr>
        <w:t xml:space="preserve">to il sito di osteotomia e la correzione e aver scelto </w:t>
      </w:r>
      <w:r w:rsidR="00E87B48">
        <w:rPr>
          <w:rFonts w:ascii="Times New Roman" w:hAnsi="Times New Roman" w:cs="Times New Roman"/>
          <w:sz w:val="24"/>
          <w:szCs w:val="24"/>
        </w:rPr>
        <w:t>l’impianto</w:t>
      </w:r>
      <w:r w:rsidR="000A09BC">
        <w:rPr>
          <w:rFonts w:ascii="Times New Roman" w:hAnsi="Times New Roman" w:cs="Times New Roman"/>
          <w:sz w:val="24"/>
          <w:szCs w:val="24"/>
        </w:rPr>
        <w:t xml:space="preserve"> da utilizzare. </w:t>
      </w:r>
    </w:p>
    <w:p w14:paraId="7F2CDD7A" w14:textId="58742266" w:rsidR="008566E1" w:rsidRPr="000A09BC" w:rsidRDefault="008566E1" w:rsidP="00783567">
      <w:pPr>
        <w:jc w:val="both"/>
        <w:rPr>
          <w:rFonts w:ascii="Times New Roman" w:hAnsi="Times New Roman" w:cs="Times New Roman"/>
          <w:sz w:val="24"/>
          <w:szCs w:val="24"/>
        </w:rPr>
      </w:pPr>
      <w:r w:rsidRPr="008566E1">
        <w:rPr>
          <w:rFonts w:ascii="Times New Roman" w:hAnsi="Times New Roman" w:cs="Times New Roman"/>
          <w:sz w:val="24"/>
          <w:szCs w:val="24"/>
        </w:rPr>
        <w:t xml:space="preserve">La scuola Lobenhoffer ci mostra come si esegue </w:t>
      </w:r>
      <w:r w:rsidR="000A09BC" w:rsidRPr="008566E1">
        <w:rPr>
          <w:rFonts w:ascii="Times New Roman" w:hAnsi="Times New Roman" w:cs="Times New Roman"/>
          <w:sz w:val="24"/>
          <w:szCs w:val="24"/>
        </w:rPr>
        <w:t>l’intervento</w:t>
      </w:r>
      <w:r w:rsidRPr="008566E1">
        <w:rPr>
          <w:rFonts w:ascii="Times New Roman" w:hAnsi="Times New Roman" w:cs="Times New Roman"/>
          <w:sz w:val="24"/>
          <w:szCs w:val="24"/>
        </w:rPr>
        <w:t xml:space="preserve"> d</w:t>
      </w:r>
      <w:r>
        <w:rPr>
          <w:rFonts w:ascii="Times New Roman" w:hAnsi="Times New Roman" w:cs="Times New Roman"/>
          <w:sz w:val="24"/>
          <w:szCs w:val="24"/>
        </w:rPr>
        <w:t xml:space="preserve">i osteotomia tibiale </w:t>
      </w:r>
      <w:r w:rsidR="00E87B48">
        <w:rPr>
          <w:rFonts w:ascii="Times New Roman" w:hAnsi="Times New Roman" w:cs="Times New Roman"/>
          <w:sz w:val="24"/>
          <w:szCs w:val="24"/>
        </w:rPr>
        <w:t>con tecnica biplanare. I</w:t>
      </w:r>
      <w:r>
        <w:rPr>
          <w:rFonts w:ascii="Times New Roman" w:hAnsi="Times New Roman" w:cs="Times New Roman"/>
          <w:sz w:val="24"/>
          <w:szCs w:val="24"/>
        </w:rPr>
        <w:t xml:space="preserve"> loro risultati a quasi 4 anni di follow up</w:t>
      </w:r>
      <w:r w:rsidR="00E87B48">
        <w:rPr>
          <w:rFonts w:ascii="Times New Roman" w:hAnsi="Times New Roman" w:cs="Times New Roman"/>
          <w:sz w:val="24"/>
          <w:szCs w:val="24"/>
        </w:rPr>
        <w:t xml:space="preserve"> </w:t>
      </w:r>
      <w:r w:rsidR="000A09BC">
        <w:rPr>
          <w:rFonts w:ascii="Times New Roman" w:hAnsi="Times New Roman" w:cs="Times New Roman"/>
          <w:sz w:val="24"/>
          <w:szCs w:val="24"/>
        </w:rPr>
        <w:t>anche in quadri di artrosi avanzata</w:t>
      </w:r>
      <w:r w:rsidR="00E87B48">
        <w:rPr>
          <w:rFonts w:ascii="Times New Roman" w:hAnsi="Times New Roman" w:cs="Times New Roman"/>
          <w:sz w:val="24"/>
          <w:szCs w:val="24"/>
        </w:rPr>
        <w:t xml:space="preserve"> risultano molto buoni</w:t>
      </w:r>
      <w:r w:rsidR="000A09BC">
        <w:rPr>
          <w:rFonts w:ascii="Times New Roman" w:hAnsi="Times New Roman" w:cs="Times New Roman"/>
          <w:sz w:val="24"/>
          <w:szCs w:val="24"/>
        </w:rPr>
        <w:t xml:space="preserve">. </w:t>
      </w:r>
      <w:r>
        <w:rPr>
          <w:rFonts w:ascii="Times New Roman" w:hAnsi="Times New Roman" w:cs="Times New Roman"/>
          <w:sz w:val="24"/>
          <w:szCs w:val="24"/>
        </w:rPr>
        <w:t xml:space="preserve">La tecnica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riproducibile, accurata</w:t>
      </w:r>
      <w:r w:rsidR="00E87B48">
        <w:rPr>
          <w:rFonts w:ascii="Times New Roman" w:hAnsi="Times New Roman" w:cs="Times New Roman"/>
          <w:sz w:val="24"/>
          <w:szCs w:val="24"/>
        </w:rPr>
        <w:t xml:space="preserve"> ed offre risultati buoni o eccellenti nella maggior parte dei casi.</w:t>
      </w:r>
      <w:r>
        <w:rPr>
          <w:rFonts w:ascii="Times New Roman" w:hAnsi="Times New Roman" w:cs="Times New Roman"/>
          <w:sz w:val="24"/>
          <w:szCs w:val="24"/>
        </w:rPr>
        <w:t xml:space="preserve"> </w:t>
      </w:r>
      <w:r w:rsidR="000A09BC">
        <w:rPr>
          <w:rFonts w:ascii="Times New Roman" w:hAnsi="Times New Roman" w:cs="Times New Roman"/>
          <w:sz w:val="24"/>
          <w:szCs w:val="24"/>
        </w:rPr>
        <w:t xml:space="preserve"> </w:t>
      </w:r>
    </w:p>
    <w:p w14:paraId="53A2BDD0" w14:textId="34E43F00" w:rsidR="004B790E" w:rsidRPr="004B790E" w:rsidRDefault="004B790E" w:rsidP="004B790E">
      <w:pPr>
        <w:jc w:val="both"/>
        <w:rPr>
          <w:rFonts w:ascii="Times New Roman" w:hAnsi="Times New Roman" w:cs="Times New Roman"/>
          <w:sz w:val="24"/>
          <w:szCs w:val="24"/>
          <w:lang w:val="en-AU"/>
        </w:rPr>
      </w:pPr>
      <w:r w:rsidRPr="004B790E">
        <w:rPr>
          <w:rFonts w:ascii="Times New Roman" w:hAnsi="Times New Roman" w:cs="Times New Roman"/>
          <w:sz w:val="24"/>
          <w:szCs w:val="24"/>
          <w:lang w:val="en-AU"/>
        </w:rPr>
        <w:t>Purpose Open-wedge valgus high tibial osteotomy is a</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well-established procedure in the management of medial</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osteoarthritis of the knee. In recent years, improved osteotomy</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and fixation methods have led to an increased use of</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this technique. The aim of this study was to identify predictive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parameters for the clinical outcome after valgus</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high tibial osteotomy.</w:t>
      </w:r>
    </w:p>
    <w:p w14:paraId="7DE7B6B7" w14:textId="079D475C" w:rsidR="004B790E" w:rsidRDefault="004B790E" w:rsidP="004B790E">
      <w:pPr>
        <w:jc w:val="both"/>
        <w:rPr>
          <w:rFonts w:ascii="Times New Roman" w:hAnsi="Times New Roman" w:cs="Times New Roman"/>
          <w:sz w:val="24"/>
          <w:szCs w:val="24"/>
          <w:lang w:val="en-AU"/>
        </w:rPr>
      </w:pPr>
      <w:r w:rsidRPr="004B790E">
        <w:rPr>
          <w:rFonts w:ascii="Times New Roman" w:hAnsi="Times New Roman" w:cs="Times New Roman"/>
          <w:sz w:val="24"/>
          <w:szCs w:val="24"/>
          <w:lang w:val="en-AU"/>
        </w:rPr>
        <w:t>Methods A multicentre case series involving retrospective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capture of baseline data and prospective outcome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assessment of patients with knee OA who underwent an</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osteotomy using Tomofix_ plate was conducted. Functional</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outcome was assessed using Oxford 12-item Knee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Score.</w:t>
      </w:r>
    </w:p>
    <w:p w14:paraId="16FA0850" w14:textId="1D7CD54E" w:rsidR="00823012" w:rsidRPr="00823012" w:rsidRDefault="000A09BC" w:rsidP="00823012">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Surgical technique: </w:t>
      </w:r>
      <w:r w:rsidR="00823012" w:rsidRPr="00823012">
        <w:rPr>
          <w:rFonts w:ascii="Times New Roman" w:hAnsi="Times New Roman" w:cs="Times New Roman"/>
          <w:sz w:val="24"/>
          <w:szCs w:val="24"/>
          <w:lang w:val="en-AU"/>
        </w:rPr>
        <w:t>An arthroscopy was routinely performed before HTO in</w:t>
      </w:r>
      <w:r w:rsidR="00823012">
        <w:rPr>
          <w:rFonts w:ascii="Times New Roman" w:hAnsi="Times New Roman" w:cs="Times New Roman"/>
          <w:sz w:val="24"/>
          <w:szCs w:val="24"/>
          <w:lang w:val="en-AU"/>
        </w:rPr>
        <w:t xml:space="preserve"> </w:t>
      </w:r>
      <w:r w:rsidR="00823012" w:rsidRPr="00823012">
        <w:rPr>
          <w:rFonts w:ascii="Times New Roman" w:hAnsi="Times New Roman" w:cs="Times New Roman"/>
          <w:sz w:val="24"/>
          <w:szCs w:val="24"/>
          <w:lang w:val="en-AU"/>
        </w:rPr>
        <w:t>order to evaluate the medial and lateral cartilage. The</w:t>
      </w:r>
      <w:r w:rsidR="00823012">
        <w:rPr>
          <w:rFonts w:ascii="Times New Roman" w:hAnsi="Times New Roman" w:cs="Times New Roman"/>
          <w:sz w:val="24"/>
          <w:szCs w:val="24"/>
          <w:lang w:val="en-AU"/>
        </w:rPr>
        <w:t xml:space="preserve"> </w:t>
      </w:r>
      <w:r w:rsidR="00823012" w:rsidRPr="00823012">
        <w:rPr>
          <w:rFonts w:ascii="Times New Roman" w:hAnsi="Times New Roman" w:cs="Times New Roman"/>
          <w:sz w:val="24"/>
          <w:szCs w:val="24"/>
          <w:lang w:val="en-AU"/>
        </w:rPr>
        <w:t>medial proximal tibia was exposed by a transverse incision.</w:t>
      </w:r>
    </w:p>
    <w:p w14:paraId="0C680D6B" w14:textId="7C8FC0C9" w:rsidR="000A09BC" w:rsidRDefault="00823012" w:rsidP="00823012">
      <w:pPr>
        <w:jc w:val="both"/>
        <w:rPr>
          <w:rFonts w:ascii="Times New Roman" w:hAnsi="Times New Roman" w:cs="Times New Roman"/>
          <w:sz w:val="24"/>
          <w:szCs w:val="24"/>
          <w:lang w:val="en-AU"/>
        </w:rPr>
      </w:pPr>
      <w:r w:rsidRPr="00823012">
        <w:rPr>
          <w:rFonts w:ascii="Times New Roman" w:hAnsi="Times New Roman" w:cs="Times New Roman"/>
          <w:sz w:val="24"/>
          <w:szCs w:val="24"/>
          <w:lang w:val="en-AU"/>
        </w:rPr>
        <w:t>The long fibres of the medial collateral ligament were</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released. The upper border of the pes anserinus marked the</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starting point of the osteotomy. Two K-wires directed to</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the upper third of the tibio-fibular joint were placed to mark</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the saw cut. The lateral 10 mm of the tibial head was left</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 xml:space="preserve">intact as a hinge for the osteotomy. Only the posterior </w:t>
      </w:r>
      <w:r>
        <w:rPr>
          <w:rFonts w:ascii="Times New Roman" w:hAnsi="Times New Roman" w:cs="Times New Roman"/>
          <w:sz w:val="24"/>
          <w:szCs w:val="24"/>
          <w:lang w:val="en-AU"/>
        </w:rPr>
        <w:t>3/4</w:t>
      </w:r>
      <w:r w:rsidRPr="00823012">
        <w:rPr>
          <w:rFonts w:ascii="Times New Roman" w:hAnsi="Times New Roman" w:cs="Times New Roman"/>
          <w:sz w:val="24"/>
          <w:szCs w:val="24"/>
          <w:lang w:val="en-AU"/>
        </w:rPr>
        <w:t xml:space="preserve"> of</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 xml:space="preserve">the tibia was cut while </w:t>
      </w:r>
      <w:r>
        <w:rPr>
          <w:rFonts w:ascii="Times New Roman" w:hAnsi="Times New Roman" w:cs="Times New Roman"/>
          <w:sz w:val="24"/>
          <w:szCs w:val="24"/>
          <w:lang w:val="en-AU"/>
        </w:rPr>
        <w:t>1/4</w:t>
      </w:r>
      <w:r w:rsidRPr="00823012">
        <w:rPr>
          <w:rFonts w:ascii="Times New Roman" w:hAnsi="Times New Roman" w:cs="Times New Roman"/>
          <w:sz w:val="24"/>
          <w:szCs w:val="24"/>
          <w:lang w:val="en-AU"/>
        </w:rPr>
        <w:t xml:space="preserve"> belongs to the tuberosity cut. The</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separate ascending cut of the biplanar osteotomy was</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performed 2 cm behind the tibial tuberosity in the frontal</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plane, parallel to the anterior tibial margin (Fig. 1). The</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osteotomy was opened gradually using chisels and stabilized</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 xml:space="preserve">with a spreading device. The </w:t>
      </w:r>
      <w:proofErr w:type="gramStart"/>
      <w:r w:rsidRPr="00823012">
        <w:rPr>
          <w:rFonts w:ascii="Times New Roman" w:hAnsi="Times New Roman" w:cs="Times New Roman"/>
          <w:sz w:val="24"/>
          <w:szCs w:val="24"/>
          <w:lang w:val="en-AU"/>
        </w:rPr>
        <w:t>Tomofix</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 xml:space="preserve"> plate</w:t>
      </w:r>
      <w:proofErr w:type="gramEnd"/>
      <w:r w:rsidRPr="00823012">
        <w:rPr>
          <w:rFonts w:ascii="Times New Roman" w:hAnsi="Times New Roman" w:cs="Times New Roman"/>
          <w:sz w:val="24"/>
          <w:szCs w:val="24"/>
          <w:lang w:val="en-AU"/>
        </w:rPr>
        <w:t xml:space="preserve"> was</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inserted into the transverse incision and pushed distally</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into a soft tissue tunnel until the long arm lay on the tibial</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shaft (Fig. 2). The aim of correction was a 3 to 5 degrees</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valgus relatively to the mechanical axis unloading the</w:t>
      </w:r>
      <w:r>
        <w:rPr>
          <w:rFonts w:ascii="Times New Roman" w:hAnsi="Times New Roman" w:cs="Times New Roman"/>
          <w:sz w:val="24"/>
          <w:szCs w:val="24"/>
          <w:lang w:val="en-AU"/>
        </w:rPr>
        <w:t xml:space="preserve"> </w:t>
      </w:r>
      <w:r w:rsidRPr="00823012">
        <w:rPr>
          <w:rFonts w:ascii="Times New Roman" w:hAnsi="Times New Roman" w:cs="Times New Roman"/>
          <w:sz w:val="24"/>
          <w:szCs w:val="24"/>
          <w:lang w:val="en-AU"/>
        </w:rPr>
        <w:t>medial compartment</w:t>
      </w:r>
      <w:r>
        <w:rPr>
          <w:rFonts w:ascii="Times New Roman" w:hAnsi="Times New Roman" w:cs="Times New Roman"/>
          <w:sz w:val="24"/>
          <w:szCs w:val="24"/>
          <w:lang w:val="en-AU"/>
        </w:rPr>
        <w:t>.</w:t>
      </w:r>
    </w:p>
    <w:p w14:paraId="31E3CC44" w14:textId="0B202040" w:rsidR="00823012" w:rsidRDefault="00823012" w:rsidP="00823012">
      <w:pPr>
        <w:jc w:val="both"/>
        <w:rPr>
          <w:rFonts w:ascii="Times New Roman" w:hAnsi="Times New Roman" w:cs="Times New Roman"/>
          <w:sz w:val="24"/>
          <w:szCs w:val="24"/>
          <w:lang w:val="en-AU"/>
        </w:rPr>
      </w:pPr>
    </w:p>
    <w:p w14:paraId="6A81FF07" w14:textId="63F3EABD" w:rsidR="00823012" w:rsidRDefault="001D12F7" w:rsidP="001D12F7">
      <w:pPr>
        <w:jc w:val="center"/>
        <w:rPr>
          <w:rFonts w:ascii="Times New Roman" w:hAnsi="Times New Roman" w:cs="Times New Roman"/>
          <w:sz w:val="24"/>
          <w:szCs w:val="24"/>
          <w:lang w:val="en-AU"/>
        </w:rPr>
      </w:pPr>
      <w:r>
        <w:rPr>
          <w:rFonts w:ascii="Times New Roman" w:hAnsi="Times New Roman" w:cs="Times New Roman"/>
          <w:sz w:val="24"/>
          <w:szCs w:val="24"/>
          <w:lang w:val="en-AU"/>
        </w:rPr>
        <w:t xml:space="preserve">Fig. 1 </w:t>
      </w:r>
      <w:r w:rsidR="00823012" w:rsidRPr="00823012">
        <w:rPr>
          <w:rFonts w:ascii="Times New Roman" w:hAnsi="Times New Roman" w:cs="Times New Roman"/>
          <w:noProof/>
          <w:sz w:val="24"/>
          <w:szCs w:val="24"/>
          <w:lang w:val="en-AU"/>
        </w:rPr>
        <w:drawing>
          <wp:inline distT="0" distB="0" distL="0" distR="0" wp14:anchorId="2E0A1B23" wp14:editId="5F4E382B">
            <wp:extent cx="929943" cy="1713191"/>
            <wp:effectExtent l="0" t="0" r="3810"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559" cy="1734590"/>
                    </a:xfrm>
                    <a:prstGeom prst="rect">
                      <a:avLst/>
                    </a:prstGeom>
                    <a:noFill/>
                    <a:ln>
                      <a:noFill/>
                    </a:ln>
                  </pic:spPr>
                </pic:pic>
              </a:graphicData>
            </a:graphic>
          </wp:inline>
        </w:drawing>
      </w:r>
      <w:r>
        <w:rPr>
          <w:rFonts w:ascii="Times New Roman" w:hAnsi="Times New Roman" w:cs="Times New Roman"/>
          <w:sz w:val="24"/>
          <w:szCs w:val="24"/>
          <w:lang w:val="en-AU"/>
        </w:rPr>
        <w:t xml:space="preserve"> Fig.2</w:t>
      </w:r>
      <w:r w:rsidRPr="001D12F7">
        <w:rPr>
          <w:rFonts w:ascii="Times New Roman" w:hAnsi="Times New Roman" w:cs="Times New Roman"/>
          <w:sz w:val="24"/>
          <w:szCs w:val="24"/>
          <w:lang w:val="en-AU"/>
        </w:rPr>
        <w:t xml:space="preserve"> </w:t>
      </w:r>
      <w:r w:rsidRPr="001D12F7">
        <w:rPr>
          <w:rFonts w:ascii="Times New Roman" w:hAnsi="Times New Roman" w:cs="Times New Roman"/>
          <w:noProof/>
          <w:sz w:val="24"/>
          <w:szCs w:val="24"/>
          <w:lang w:val="en-AU"/>
        </w:rPr>
        <w:drawing>
          <wp:inline distT="0" distB="0" distL="0" distR="0" wp14:anchorId="43F54AD6" wp14:editId="5A254C7B">
            <wp:extent cx="1152458" cy="1694600"/>
            <wp:effectExtent l="0" t="0" r="0"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1001" cy="1707162"/>
                    </a:xfrm>
                    <a:prstGeom prst="rect">
                      <a:avLst/>
                    </a:prstGeom>
                    <a:noFill/>
                    <a:ln>
                      <a:noFill/>
                    </a:ln>
                  </pic:spPr>
                </pic:pic>
              </a:graphicData>
            </a:graphic>
          </wp:inline>
        </w:drawing>
      </w:r>
    </w:p>
    <w:p w14:paraId="1F814F9F" w14:textId="222C1D21" w:rsidR="001D12F7" w:rsidRDefault="001D12F7" w:rsidP="001D12F7">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 1 </w:t>
      </w:r>
      <w:r w:rsidRPr="001D12F7">
        <w:rPr>
          <w:rFonts w:ascii="Times New Roman" w:hAnsi="Times New Roman" w:cs="Times New Roman"/>
          <w:sz w:val="24"/>
          <w:szCs w:val="24"/>
          <w:lang w:val="en-AU"/>
        </w:rPr>
        <w:t>Biplanar osteotomy of the tibial head, lateral X-ray</w:t>
      </w:r>
    </w:p>
    <w:p w14:paraId="76400EE8" w14:textId="11664ADD" w:rsidR="00823012" w:rsidRPr="004B790E" w:rsidRDefault="001D12F7" w:rsidP="00823012">
      <w:pPr>
        <w:jc w:val="both"/>
        <w:rPr>
          <w:rFonts w:ascii="Times New Roman" w:hAnsi="Times New Roman" w:cs="Times New Roman"/>
          <w:sz w:val="24"/>
          <w:szCs w:val="24"/>
          <w:lang w:val="en-AU"/>
        </w:rPr>
      </w:pPr>
      <w:r>
        <w:rPr>
          <w:rFonts w:ascii="Times New Roman" w:hAnsi="Times New Roman" w:cs="Times New Roman"/>
          <w:sz w:val="24"/>
          <w:szCs w:val="24"/>
          <w:lang w:val="en-AU"/>
        </w:rPr>
        <w:lastRenderedPageBreak/>
        <w:t xml:space="preserve">Fig. 2 </w:t>
      </w:r>
      <w:r w:rsidRPr="001D12F7">
        <w:rPr>
          <w:rFonts w:ascii="Times New Roman" w:hAnsi="Times New Roman" w:cs="Times New Roman"/>
          <w:sz w:val="24"/>
          <w:szCs w:val="24"/>
          <w:lang w:val="en-AU"/>
        </w:rPr>
        <w:t>Positioning of the fixator, antero-posterior X-ray</w:t>
      </w:r>
    </w:p>
    <w:p w14:paraId="371C15D6" w14:textId="77777777" w:rsidR="001D12F7" w:rsidRDefault="004B790E" w:rsidP="004B790E">
      <w:pPr>
        <w:jc w:val="both"/>
        <w:rPr>
          <w:rFonts w:ascii="Times New Roman" w:hAnsi="Times New Roman" w:cs="Times New Roman"/>
          <w:sz w:val="24"/>
          <w:szCs w:val="24"/>
          <w:lang w:val="en-AU"/>
        </w:rPr>
      </w:pPr>
      <w:r w:rsidRPr="004B790E">
        <w:rPr>
          <w:rFonts w:ascii="Times New Roman" w:hAnsi="Times New Roman" w:cs="Times New Roman"/>
          <w:sz w:val="24"/>
          <w:szCs w:val="24"/>
          <w:lang w:val="en-AU"/>
        </w:rPr>
        <w:t>Results Before surgery, the majority of patients had grade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III (52 %) and grade IV (33 %) lesions according to Outerbridge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classification. Three hundred and eighty-six of</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533 eligible patients were interviewed for follow-up after</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an average of 3.6 years. The mean Oxford Knee Score was</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43 points. Six per cent experienced at least one local</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postoperative complication. There was a tendency towards</w:t>
      </w:r>
      <w:r w:rsidR="00823012">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lower score results in patients with a higher preoperative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degree of the medial cartilage lesion. No correlation</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between patient age and the Oxford Knee Score was</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observed.</w:t>
      </w:r>
    </w:p>
    <w:p w14:paraId="2F64A7DF" w14:textId="69EA6F53" w:rsidR="001D12F7" w:rsidRDefault="001D12F7" w:rsidP="004B790E">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Fig.3 </w:t>
      </w:r>
      <w:r w:rsidRPr="001D12F7">
        <w:rPr>
          <w:rFonts w:ascii="Times New Roman" w:hAnsi="Times New Roman" w:cs="Times New Roman"/>
          <w:noProof/>
          <w:sz w:val="24"/>
          <w:szCs w:val="24"/>
          <w:lang w:val="en-AU"/>
        </w:rPr>
        <w:drawing>
          <wp:inline distT="0" distB="0" distL="0" distR="0" wp14:anchorId="38413B8C" wp14:editId="59728A4F">
            <wp:extent cx="2590002" cy="1813533"/>
            <wp:effectExtent l="0" t="0" r="127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1603" cy="1828658"/>
                    </a:xfrm>
                    <a:prstGeom prst="rect">
                      <a:avLst/>
                    </a:prstGeom>
                    <a:noFill/>
                    <a:ln>
                      <a:noFill/>
                    </a:ln>
                  </pic:spPr>
                </pic:pic>
              </a:graphicData>
            </a:graphic>
          </wp:inline>
        </w:drawing>
      </w:r>
      <w:r>
        <w:rPr>
          <w:rFonts w:ascii="Times New Roman" w:hAnsi="Times New Roman" w:cs="Times New Roman"/>
          <w:sz w:val="24"/>
          <w:szCs w:val="24"/>
          <w:lang w:val="en-AU"/>
        </w:rPr>
        <w:t>Fig.4</w:t>
      </w:r>
      <w:r w:rsidRPr="001D12F7">
        <w:rPr>
          <w:rFonts w:ascii="Times New Roman" w:hAnsi="Times New Roman" w:cs="Times New Roman"/>
          <w:sz w:val="24"/>
          <w:szCs w:val="24"/>
          <w:lang w:val="en-AU"/>
        </w:rPr>
        <w:t xml:space="preserve"> </w:t>
      </w:r>
      <w:r w:rsidRPr="001D12F7">
        <w:rPr>
          <w:rFonts w:ascii="Times New Roman" w:hAnsi="Times New Roman" w:cs="Times New Roman"/>
          <w:noProof/>
          <w:sz w:val="24"/>
          <w:szCs w:val="24"/>
          <w:lang w:val="en-AU"/>
        </w:rPr>
        <w:drawing>
          <wp:inline distT="0" distB="0" distL="0" distR="0" wp14:anchorId="0099F69B" wp14:editId="250A461D">
            <wp:extent cx="2585085" cy="1804783"/>
            <wp:effectExtent l="0" t="0" r="5715" b="508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8284" cy="1813998"/>
                    </a:xfrm>
                    <a:prstGeom prst="rect">
                      <a:avLst/>
                    </a:prstGeom>
                    <a:noFill/>
                    <a:ln>
                      <a:noFill/>
                    </a:ln>
                  </pic:spPr>
                </pic:pic>
              </a:graphicData>
            </a:graphic>
          </wp:inline>
        </w:drawing>
      </w:r>
    </w:p>
    <w:p w14:paraId="73F0F7B2" w14:textId="7E5B6AB6" w:rsidR="001D12F7" w:rsidRDefault="001D12F7" w:rsidP="004B790E">
      <w:pPr>
        <w:jc w:val="both"/>
        <w:rPr>
          <w:rFonts w:ascii="Times New Roman" w:hAnsi="Times New Roman" w:cs="Times New Roman"/>
          <w:sz w:val="24"/>
          <w:szCs w:val="24"/>
          <w:lang w:val="en-AU"/>
        </w:rPr>
      </w:pPr>
    </w:p>
    <w:p w14:paraId="1419BC7C" w14:textId="69E01395" w:rsidR="001D12F7" w:rsidRDefault="001D12F7" w:rsidP="004B790E">
      <w:pPr>
        <w:jc w:val="both"/>
        <w:rPr>
          <w:rFonts w:ascii="Times New Roman" w:hAnsi="Times New Roman" w:cs="Times New Roman"/>
          <w:sz w:val="24"/>
          <w:szCs w:val="24"/>
          <w:lang w:val="en-AU"/>
        </w:rPr>
      </w:pPr>
      <w:r>
        <w:rPr>
          <w:rFonts w:ascii="Times New Roman" w:hAnsi="Times New Roman" w:cs="Times New Roman"/>
          <w:sz w:val="24"/>
          <w:szCs w:val="24"/>
          <w:lang w:val="en-AU"/>
        </w:rPr>
        <w:t>Fig.</w:t>
      </w:r>
      <w:r w:rsidR="00E87B48">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3 Good to excellent results in Outerbridge grade III and IV </w:t>
      </w:r>
    </w:p>
    <w:p w14:paraId="5D93EF1B" w14:textId="46AD15A4" w:rsidR="001D12F7" w:rsidRPr="004B790E" w:rsidRDefault="001D12F7" w:rsidP="004B790E">
      <w:pPr>
        <w:jc w:val="both"/>
        <w:rPr>
          <w:rFonts w:ascii="Times New Roman" w:hAnsi="Times New Roman" w:cs="Times New Roman"/>
          <w:sz w:val="24"/>
          <w:szCs w:val="24"/>
          <w:lang w:val="en-AU"/>
        </w:rPr>
      </w:pPr>
      <w:r>
        <w:rPr>
          <w:rFonts w:ascii="Times New Roman" w:hAnsi="Times New Roman" w:cs="Times New Roman"/>
          <w:sz w:val="24"/>
          <w:szCs w:val="24"/>
          <w:lang w:val="en-AU"/>
        </w:rPr>
        <w:t>Fig.</w:t>
      </w:r>
      <w:r w:rsidR="00E87B48">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4 </w:t>
      </w:r>
      <w:r w:rsidR="00E87B48">
        <w:rPr>
          <w:rFonts w:ascii="Times New Roman" w:hAnsi="Times New Roman" w:cs="Times New Roman"/>
          <w:sz w:val="24"/>
          <w:szCs w:val="24"/>
          <w:lang w:val="en-AU"/>
        </w:rPr>
        <w:t>Good to excellent results in over 60 years old patients.</w:t>
      </w:r>
    </w:p>
    <w:p w14:paraId="1EE1CDF1" w14:textId="508AC541" w:rsidR="004B790E" w:rsidRPr="004B790E" w:rsidRDefault="004B790E" w:rsidP="004B790E">
      <w:pPr>
        <w:jc w:val="both"/>
        <w:rPr>
          <w:rFonts w:ascii="Times New Roman" w:hAnsi="Times New Roman" w:cs="Times New Roman"/>
          <w:sz w:val="24"/>
          <w:szCs w:val="24"/>
          <w:lang w:val="en-AU"/>
        </w:rPr>
      </w:pPr>
      <w:r w:rsidRPr="004B790E">
        <w:rPr>
          <w:rFonts w:ascii="Times New Roman" w:hAnsi="Times New Roman" w:cs="Times New Roman"/>
          <w:sz w:val="24"/>
          <w:szCs w:val="24"/>
          <w:lang w:val="en-AU"/>
        </w:rPr>
        <w:t>Conclusion Being male, being operated by an experienced</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surgeon, having no intake of pain medication at</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follow-up and having no postoperative complication are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positive predictors of the Oxford Knee Score up to 5 years</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after surgery. This study reveals favourable midterm results</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after valgus high tibial osteotomy in varus osteoarthritis,</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even in older patients with high degree of cartilage</w:t>
      </w:r>
      <w:r>
        <w:rPr>
          <w:rFonts w:ascii="Times New Roman" w:hAnsi="Times New Roman" w:cs="Times New Roman"/>
          <w:sz w:val="24"/>
          <w:szCs w:val="24"/>
          <w:lang w:val="en-AU"/>
        </w:rPr>
        <w:t xml:space="preserve"> </w:t>
      </w:r>
      <w:r w:rsidRPr="004B790E">
        <w:rPr>
          <w:rFonts w:ascii="Times New Roman" w:hAnsi="Times New Roman" w:cs="Times New Roman"/>
          <w:sz w:val="24"/>
          <w:szCs w:val="24"/>
          <w:lang w:val="en-AU"/>
        </w:rPr>
        <w:t>damage.</w:t>
      </w:r>
    </w:p>
    <w:p w14:paraId="4DD62E9C" w14:textId="63FD8B69" w:rsidR="006368EA" w:rsidRDefault="004B790E" w:rsidP="004B790E">
      <w:pPr>
        <w:jc w:val="both"/>
        <w:rPr>
          <w:rFonts w:ascii="Times New Roman" w:hAnsi="Times New Roman" w:cs="Times New Roman"/>
          <w:sz w:val="24"/>
          <w:szCs w:val="24"/>
          <w:lang w:val="en-AU"/>
        </w:rPr>
      </w:pPr>
      <w:r w:rsidRPr="004B790E">
        <w:rPr>
          <w:rFonts w:ascii="Times New Roman" w:hAnsi="Times New Roman" w:cs="Times New Roman"/>
          <w:sz w:val="24"/>
          <w:szCs w:val="24"/>
          <w:lang w:val="en-AU"/>
        </w:rPr>
        <w:t>Level of evidence II.</w:t>
      </w:r>
    </w:p>
    <w:p w14:paraId="10DA17C2" w14:textId="19CE3470" w:rsidR="008566E1" w:rsidRDefault="008566E1" w:rsidP="004B790E">
      <w:pPr>
        <w:jc w:val="both"/>
        <w:rPr>
          <w:rFonts w:ascii="Times New Roman" w:hAnsi="Times New Roman" w:cs="Times New Roman"/>
          <w:sz w:val="24"/>
          <w:szCs w:val="24"/>
          <w:lang w:val="en-AU"/>
        </w:rPr>
      </w:pPr>
    </w:p>
    <w:p w14:paraId="16BE60B1" w14:textId="20901C07" w:rsidR="008566E1" w:rsidRDefault="008566E1" w:rsidP="004B790E">
      <w:pPr>
        <w:jc w:val="both"/>
        <w:rPr>
          <w:rFonts w:ascii="Times New Roman" w:hAnsi="Times New Roman" w:cs="Times New Roman"/>
          <w:sz w:val="24"/>
          <w:szCs w:val="24"/>
          <w:lang w:val="en-AU"/>
        </w:rPr>
      </w:pPr>
    </w:p>
    <w:p w14:paraId="538FF516" w14:textId="54BA1DD7" w:rsidR="008566E1" w:rsidRDefault="008566E1" w:rsidP="004B790E">
      <w:pPr>
        <w:jc w:val="both"/>
        <w:rPr>
          <w:rFonts w:ascii="Times New Roman" w:hAnsi="Times New Roman" w:cs="Times New Roman"/>
          <w:sz w:val="24"/>
          <w:szCs w:val="24"/>
          <w:lang w:val="en-AU"/>
        </w:rPr>
      </w:pPr>
    </w:p>
    <w:p w14:paraId="03179A93" w14:textId="3B91A83C" w:rsidR="008566E1" w:rsidRDefault="008566E1" w:rsidP="004B790E">
      <w:pPr>
        <w:jc w:val="both"/>
        <w:rPr>
          <w:rFonts w:ascii="Times New Roman" w:hAnsi="Times New Roman" w:cs="Times New Roman"/>
          <w:sz w:val="24"/>
          <w:szCs w:val="24"/>
          <w:lang w:val="en-AU"/>
        </w:rPr>
      </w:pPr>
    </w:p>
    <w:p w14:paraId="5DEFCD6E" w14:textId="53A8D851" w:rsidR="008566E1" w:rsidRDefault="008566E1" w:rsidP="004B790E">
      <w:pPr>
        <w:jc w:val="both"/>
        <w:rPr>
          <w:rFonts w:ascii="Times New Roman" w:hAnsi="Times New Roman" w:cs="Times New Roman"/>
          <w:sz w:val="24"/>
          <w:szCs w:val="24"/>
          <w:lang w:val="en-AU"/>
        </w:rPr>
      </w:pPr>
    </w:p>
    <w:p w14:paraId="0F7F6FB9" w14:textId="26EDCCF2" w:rsidR="008566E1" w:rsidRDefault="008566E1" w:rsidP="004B790E">
      <w:pPr>
        <w:jc w:val="both"/>
        <w:rPr>
          <w:rFonts w:ascii="Times New Roman" w:hAnsi="Times New Roman" w:cs="Times New Roman"/>
          <w:sz w:val="24"/>
          <w:szCs w:val="24"/>
          <w:lang w:val="en-AU"/>
        </w:rPr>
      </w:pPr>
    </w:p>
    <w:p w14:paraId="0BDC375C" w14:textId="77777777" w:rsidR="008566E1" w:rsidRPr="004B790E" w:rsidRDefault="008566E1" w:rsidP="004B790E">
      <w:pPr>
        <w:jc w:val="both"/>
        <w:rPr>
          <w:rFonts w:ascii="Times New Roman" w:hAnsi="Times New Roman" w:cs="Times New Roman"/>
          <w:sz w:val="24"/>
          <w:szCs w:val="24"/>
          <w:lang w:val="en-AU"/>
        </w:rPr>
      </w:pPr>
    </w:p>
    <w:p w14:paraId="6A473DC1" w14:textId="77777777" w:rsidR="006368EA" w:rsidRPr="004B790E" w:rsidRDefault="006368EA" w:rsidP="00604744">
      <w:pPr>
        <w:jc w:val="both"/>
        <w:rPr>
          <w:rFonts w:ascii="Times New Roman" w:hAnsi="Times New Roman" w:cs="Times New Roman"/>
          <w:sz w:val="24"/>
          <w:szCs w:val="24"/>
          <w:lang w:val="en-AU"/>
        </w:rPr>
      </w:pPr>
    </w:p>
    <w:p w14:paraId="0833D627" w14:textId="47AB5316" w:rsidR="002702CA" w:rsidRDefault="002702CA" w:rsidP="00604744">
      <w:pPr>
        <w:jc w:val="both"/>
        <w:rPr>
          <w:rFonts w:ascii="Times New Roman" w:hAnsi="Times New Roman" w:cs="Times New Roman"/>
          <w:sz w:val="24"/>
          <w:szCs w:val="24"/>
          <w:lang w:val="en-AU"/>
        </w:rPr>
      </w:pPr>
    </w:p>
    <w:p w14:paraId="129F4052" w14:textId="1A4476ED" w:rsidR="002702CA" w:rsidRDefault="002702CA" w:rsidP="00604744">
      <w:pPr>
        <w:jc w:val="both"/>
        <w:rPr>
          <w:rFonts w:ascii="Times New Roman" w:hAnsi="Times New Roman" w:cs="Times New Roman"/>
          <w:sz w:val="24"/>
          <w:szCs w:val="24"/>
          <w:lang w:val="en-AU"/>
        </w:rPr>
      </w:pPr>
    </w:p>
    <w:p w14:paraId="4F9325E8" w14:textId="5B221DE1" w:rsidR="008566E1" w:rsidRDefault="008566E1" w:rsidP="00604744">
      <w:pPr>
        <w:jc w:val="both"/>
        <w:rPr>
          <w:rFonts w:ascii="Times New Roman" w:hAnsi="Times New Roman" w:cs="Times New Roman"/>
          <w:sz w:val="24"/>
          <w:szCs w:val="24"/>
          <w:lang w:val="en-AU"/>
        </w:rPr>
      </w:pPr>
    </w:p>
    <w:p w14:paraId="46E13075" w14:textId="77777777" w:rsidR="008566E1" w:rsidRPr="00604744" w:rsidRDefault="008566E1" w:rsidP="00604744">
      <w:pPr>
        <w:jc w:val="both"/>
        <w:rPr>
          <w:rFonts w:ascii="Times New Roman" w:hAnsi="Times New Roman" w:cs="Times New Roman"/>
          <w:sz w:val="24"/>
          <w:szCs w:val="24"/>
          <w:lang w:val="en-AU"/>
        </w:rPr>
      </w:pPr>
    </w:p>
    <w:p w14:paraId="32D9D4E6" w14:textId="77777777" w:rsidR="00604744" w:rsidRPr="00604744" w:rsidRDefault="00604744" w:rsidP="00604744">
      <w:pPr>
        <w:jc w:val="both"/>
        <w:rPr>
          <w:rFonts w:ascii="Times New Roman" w:hAnsi="Times New Roman" w:cs="Times New Roman"/>
          <w:sz w:val="24"/>
          <w:szCs w:val="24"/>
          <w:lang w:val="en-AU"/>
        </w:rPr>
      </w:pPr>
    </w:p>
    <w:p w14:paraId="1A793369" w14:textId="78A5A1D6" w:rsidR="00921611" w:rsidRDefault="00921611" w:rsidP="00130DB3">
      <w:pPr>
        <w:pStyle w:val="Paragrafoelenco"/>
        <w:numPr>
          <w:ilvl w:val="0"/>
          <w:numId w:val="7"/>
        </w:numPr>
        <w:jc w:val="both"/>
        <w:rPr>
          <w:rFonts w:ascii="Times New Roman" w:hAnsi="Times New Roman" w:cs="Times New Roman"/>
          <w:sz w:val="24"/>
          <w:szCs w:val="24"/>
          <w:lang w:val="en-AU"/>
        </w:rPr>
      </w:pPr>
      <w:r w:rsidRPr="000A0317">
        <w:rPr>
          <w:rFonts w:ascii="Times New Roman" w:hAnsi="Times New Roman" w:cs="Times New Roman"/>
          <w:sz w:val="24"/>
          <w:szCs w:val="24"/>
          <w:lang w:val="en-AU"/>
        </w:rPr>
        <w:t>Double level osteotomy</w:t>
      </w:r>
    </w:p>
    <w:p w14:paraId="053E8429" w14:textId="77777777" w:rsidR="008566E1" w:rsidRPr="000A0317" w:rsidRDefault="008566E1" w:rsidP="008566E1">
      <w:pPr>
        <w:pStyle w:val="Paragrafoelenco"/>
        <w:ind w:left="644"/>
        <w:jc w:val="both"/>
        <w:rPr>
          <w:rFonts w:ascii="Times New Roman" w:hAnsi="Times New Roman" w:cs="Times New Roman"/>
          <w:sz w:val="24"/>
          <w:szCs w:val="24"/>
          <w:lang w:val="en-AU"/>
        </w:rPr>
      </w:pPr>
    </w:p>
    <w:p w14:paraId="32AA4577" w14:textId="0CE26306" w:rsidR="002702CA" w:rsidRDefault="00081DB4" w:rsidP="00081DB4">
      <w:pPr>
        <w:jc w:val="both"/>
        <w:rPr>
          <w:rFonts w:ascii="Times New Roman" w:hAnsi="Times New Roman" w:cs="Times New Roman"/>
          <w:sz w:val="24"/>
          <w:szCs w:val="24"/>
          <w:lang w:val="en-AU"/>
        </w:rPr>
      </w:pPr>
      <w:r w:rsidRPr="00081DB4">
        <w:rPr>
          <w:rFonts w:ascii="Times New Roman" w:hAnsi="Times New Roman" w:cs="Times New Roman"/>
          <w:sz w:val="24"/>
          <w:szCs w:val="24"/>
          <w:lang w:val="en-AU"/>
        </w:rPr>
        <w:t xml:space="preserve">Dominique Saragaglia, Loic </w:t>
      </w:r>
      <w:proofErr w:type="gramStart"/>
      <w:r w:rsidR="008566E1" w:rsidRPr="00081DB4">
        <w:rPr>
          <w:rFonts w:ascii="Times New Roman" w:hAnsi="Times New Roman" w:cs="Times New Roman"/>
          <w:sz w:val="24"/>
          <w:szCs w:val="24"/>
          <w:lang w:val="en-AU"/>
        </w:rPr>
        <w:t xml:space="preserve">Sigwalt, </w:t>
      </w:r>
      <w:r w:rsidR="008566E1">
        <w:rPr>
          <w:rFonts w:ascii="Times New Roman" w:hAnsi="Times New Roman" w:cs="Times New Roman"/>
          <w:sz w:val="24"/>
          <w:szCs w:val="24"/>
          <w:lang w:val="en-AU"/>
        </w:rPr>
        <w:t xml:space="preserve"> </w:t>
      </w:r>
      <w:r w:rsidRPr="00081DB4">
        <w:rPr>
          <w:rFonts w:ascii="Times New Roman" w:hAnsi="Times New Roman" w:cs="Times New Roman"/>
          <w:sz w:val="24"/>
          <w:szCs w:val="24"/>
          <w:lang w:val="en-AU"/>
        </w:rPr>
        <w:t>Brice</w:t>
      </w:r>
      <w:proofErr w:type="gramEnd"/>
      <w:r w:rsidRPr="00081DB4">
        <w:rPr>
          <w:rFonts w:ascii="Times New Roman" w:hAnsi="Times New Roman" w:cs="Times New Roman"/>
          <w:sz w:val="24"/>
          <w:szCs w:val="24"/>
          <w:lang w:val="en-AU"/>
        </w:rPr>
        <w:t xml:space="preserve"> Rubens-Duval, </w:t>
      </w:r>
      <w:r w:rsidR="005A204B">
        <w:rPr>
          <w:rFonts w:ascii="Times New Roman" w:hAnsi="Times New Roman" w:cs="Times New Roman"/>
          <w:sz w:val="24"/>
          <w:szCs w:val="24"/>
          <w:lang w:val="en-AU"/>
        </w:rPr>
        <w:t xml:space="preserve"> </w:t>
      </w:r>
      <w:r w:rsidRPr="00081DB4">
        <w:rPr>
          <w:rFonts w:ascii="Times New Roman" w:hAnsi="Times New Roman" w:cs="Times New Roman"/>
          <w:sz w:val="24"/>
          <w:szCs w:val="24"/>
          <w:lang w:val="en-AU"/>
        </w:rPr>
        <w:t xml:space="preserve">Billy Chedal-Bornu, </w:t>
      </w:r>
      <w:r w:rsidR="005A204B">
        <w:rPr>
          <w:rFonts w:ascii="Times New Roman" w:hAnsi="Times New Roman" w:cs="Times New Roman"/>
          <w:sz w:val="24"/>
          <w:szCs w:val="24"/>
          <w:lang w:val="en-AU"/>
        </w:rPr>
        <w:t xml:space="preserve"> </w:t>
      </w:r>
      <w:r w:rsidRPr="00081DB4">
        <w:rPr>
          <w:rFonts w:ascii="Times New Roman" w:hAnsi="Times New Roman" w:cs="Times New Roman"/>
          <w:sz w:val="24"/>
          <w:szCs w:val="24"/>
          <w:lang w:val="en-AU"/>
        </w:rPr>
        <w:t>Regis Pailhe,</w:t>
      </w:r>
      <w:r w:rsidR="005A204B">
        <w:rPr>
          <w:rFonts w:ascii="Times New Roman" w:hAnsi="Times New Roman" w:cs="Times New Roman"/>
          <w:sz w:val="24"/>
          <w:szCs w:val="24"/>
          <w:lang w:val="en-AU"/>
        </w:rPr>
        <w:t xml:space="preserve"> </w:t>
      </w:r>
      <w:r w:rsidRPr="00081DB4">
        <w:rPr>
          <w:rFonts w:ascii="Times New Roman" w:hAnsi="Times New Roman" w:cs="Times New Roman"/>
          <w:sz w:val="24"/>
          <w:szCs w:val="24"/>
          <w:lang w:val="en-AU"/>
        </w:rPr>
        <w:t xml:space="preserve">J </w:t>
      </w:r>
      <w:r w:rsidR="008566E1" w:rsidRPr="00081DB4">
        <w:rPr>
          <w:rFonts w:ascii="Times New Roman" w:hAnsi="Times New Roman" w:cs="Times New Roman"/>
          <w:sz w:val="24"/>
          <w:szCs w:val="24"/>
          <w:lang w:val="en-AU"/>
        </w:rPr>
        <w:t>Concept of Combined Femoral and Tibial</w:t>
      </w:r>
      <w:r w:rsidR="008566E1">
        <w:rPr>
          <w:rFonts w:ascii="Times New Roman" w:hAnsi="Times New Roman" w:cs="Times New Roman"/>
          <w:sz w:val="24"/>
          <w:szCs w:val="24"/>
          <w:lang w:val="en-AU"/>
        </w:rPr>
        <w:t xml:space="preserve"> Osteotomies  </w:t>
      </w:r>
      <w:r w:rsidRPr="00081DB4">
        <w:rPr>
          <w:rFonts w:ascii="Times New Roman" w:hAnsi="Times New Roman" w:cs="Times New Roman"/>
          <w:sz w:val="24"/>
          <w:szCs w:val="24"/>
          <w:lang w:val="en-AU"/>
        </w:rPr>
        <w:t>Knee Surg 2017; 30(08): 756-763</w:t>
      </w:r>
      <w:r>
        <w:rPr>
          <w:rFonts w:ascii="Times New Roman" w:hAnsi="Times New Roman" w:cs="Times New Roman"/>
          <w:sz w:val="24"/>
          <w:szCs w:val="24"/>
          <w:lang w:val="en-AU"/>
        </w:rPr>
        <w:t xml:space="preserve">  </w:t>
      </w:r>
      <w:r w:rsidRPr="00081DB4">
        <w:rPr>
          <w:rFonts w:ascii="Times New Roman" w:hAnsi="Times New Roman" w:cs="Times New Roman"/>
          <w:sz w:val="24"/>
          <w:szCs w:val="24"/>
          <w:lang w:val="en-AU"/>
        </w:rPr>
        <w:t>DOI: 10.1055/s-0037-1603640</w:t>
      </w:r>
    </w:p>
    <w:p w14:paraId="752A2ABC" w14:textId="4C620375" w:rsidR="00081DB4" w:rsidRDefault="00081DB4" w:rsidP="00081DB4">
      <w:pPr>
        <w:jc w:val="both"/>
        <w:rPr>
          <w:rFonts w:ascii="Times New Roman" w:hAnsi="Times New Roman" w:cs="Times New Roman"/>
          <w:sz w:val="24"/>
          <w:szCs w:val="24"/>
          <w:lang w:val="en-AU"/>
        </w:rPr>
      </w:pPr>
    </w:p>
    <w:p w14:paraId="074A5DD3" w14:textId="769EAFD3" w:rsidR="00081DB4" w:rsidRPr="00EB15AD" w:rsidRDefault="00EB15AD" w:rsidP="00081DB4">
      <w:pPr>
        <w:jc w:val="both"/>
        <w:rPr>
          <w:rFonts w:ascii="Times New Roman" w:hAnsi="Times New Roman" w:cs="Times New Roman"/>
          <w:sz w:val="24"/>
          <w:szCs w:val="24"/>
        </w:rPr>
      </w:pPr>
      <w:r w:rsidRPr="00EB15AD">
        <w:rPr>
          <w:rFonts w:ascii="Times New Roman" w:hAnsi="Times New Roman" w:cs="Times New Roman"/>
          <w:sz w:val="24"/>
          <w:szCs w:val="24"/>
        </w:rPr>
        <w:t xml:space="preserve">La letteratura </w:t>
      </w:r>
      <w:r w:rsidR="002149EF" w:rsidRPr="00EB15AD">
        <w:rPr>
          <w:rFonts w:ascii="Times New Roman" w:hAnsi="Times New Roman" w:cs="Times New Roman"/>
          <w:sz w:val="24"/>
          <w:szCs w:val="24"/>
        </w:rPr>
        <w:t>più</w:t>
      </w:r>
      <w:r w:rsidRPr="00EB15AD">
        <w:rPr>
          <w:rFonts w:ascii="Times New Roman" w:hAnsi="Times New Roman" w:cs="Times New Roman"/>
          <w:sz w:val="24"/>
          <w:szCs w:val="24"/>
        </w:rPr>
        <w:t xml:space="preserve"> recente h</w:t>
      </w:r>
      <w:r>
        <w:rPr>
          <w:rFonts w:ascii="Times New Roman" w:hAnsi="Times New Roman" w:cs="Times New Roman"/>
          <w:sz w:val="24"/>
          <w:szCs w:val="24"/>
        </w:rPr>
        <w:t xml:space="preserve">a </w:t>
      </w:r>
      <w:r w:rsidR="002149EF">
        <w:rPr>
          <w:rFonts w:ascii="Times New Roman" w:hAnsi="Times New Roman" w:cs="Times New Roman"/>
          <w:sz w:val="24"/>
          <w:szCs w:val="24"/>
        </w:rPr>
        <w:t>dimostrato l’estrema</w:t>
      </w:r>
      <w:r>
        <w:rPr>
          <w:rFonts w:ascii="Times New Roman" w:hAnsi="Times New Roman" w:cs="Times New Roman"/>
          <w:sz w:val="24"/>
          <w:szCs w:val="24"/>
        </w:rPr>
        <w:t xml:space="preserve"> </w:t>
      </w:r>
      <w:r w:rsidR="002149EF">
        <w:rPr>
          <w:rFonts w:ascii="Times New Roman" w:hAnsi="Times New Roman" w:cs="Times New Roman"/>
          <w:sz w:val="24"/>
          <w:szCs w:val="24"/>
        </w:rPr>
        <w:t>variabilità</w:t>
      </w:r>
      <w:r>
        <w:rPr>
          <w:rFonts w:ascii="Times New Roman" w:hAnsi="Times New Roman" w:cs="Times New Roman"/>
          <w:sz w:val="24"/>
          <w:szCs w:val="24"/>
        </w:rPr>
        <w:t xml:space="preserve"> della localizzazione della </w:t>
      </w:r>
      <w:r w:rsidR="002149EF">
        <w:rPr>
          <w:rFonts w:ascii="Times New Roman" w:hAnsi="Times New Roman" w:cs="Times New Roman"/>
          <w:sz w:val="24"/>
          <w:szCs w:val="24"/>
        </w:rPr>
        <w:t>deformità</w:t>
      </w:r>
      <w:r>
        <w:rPr>
          <w:rFonts w:ascii="Times New Roman" w:hAnsi="Times New Roman" w:cs="Times New Roman"/>
          <w:sz w:val="24"/>
          <w:szCs w:val="24"/>
        </w:rPr>
        <w:t xml:space="preserve"> a livello del ginocchio. Hirschman</w:t>
      </w:r>
      <w:r w:rsidR="00A33BD3">
        <w:rPr>
          <w:rFonts w:ascii="Times New Roman" w:hAnsi="Times New Roman" w:cs="Times New Roman"/>
          <w:sz w:val="24"/>
          <w:szCs w:val="24"/>
        </w:rPr>
        <w:t xml:space="preserve"> (KSSTA 2019)</w:t>
      </w:r>
      <w:r>
        <w:rPr>
          <w:rFonts w:ascii="Times New Roman" w:hAnsi="Times New Roman" w:cs="Times New Roman"/>
          <w:sz w:val="24"/>
          <w:szCs w:val="24"/>
        </w:rPr>
        <w:t xml:space="preserve"> e colleghi hanno valutato oltre 100 fenotipi</w:t>
      </w:r>
      <w:r w:rsidR="00A33BD3">
        <w:rPr>
          <w:rFonts w:ascii="Times New Roman" w:hAnsi="Times New Roman" w:cs="Times New Roman"/>
          <w:sz w:val="24"/>
          <w:szCs w:val="24"/>
        </w:rPr>
        <w:t xml:space="preserve"> </w:t>
      </w:r>
      <w:r w:rsidR="002149EF">
        <w:rPr>
          <w:rFonts w:ascii="Times New Roman" w:hAnsi="Times New Roman" w:cs="Times New Roman"/>
          <w:sz w:val="24"/>
          <w:szCs w:val="24"/>
        </w:rPr>
        <w:t>funzionali di</w:t>
      </w:r>
      <w:r>
        <w:rPr>
          <w:rFonts w:ascii="Times New Roman" w:hAnsi="Times New Roman" w:cs="Times New Roman"/>
          <w:sz w:val="24"/>
          <w:szCs w:val="24"/>
        </w:rPr>
        <w:t xml:space="preserve"> </w:t>
      </w:r>
      <w:r w:rsidR="002149EF">
        <w:rPr>
          <w:rFonts w:ascii="Times New Roman" w:hAnsi="Times New Roman" w:cs="Times New Roman"/>
          <w:sz w:val="24"/>
          <w:szCs w:val="24"/>
        </w:rPr>
        <w:t>ginocchio,</w:t>
      </w:r>
      <w:r>
        <w:rPr>
          <w:rFonts w:ascii="Times New Roman" w:hAnsi="Times New Roman" w:cs="Times New Roman"/>
          <w:sz w:val="24"/>
          <w:szCs w:val="24"/>
        </w:rPr>
        <w:t xml:space="preserve"> con differenti combinazioni di varismo e valgismo tibiale e femorale. Eberbach e colleghi </w:t>
      </w:r>
      <w:r w:rsidR="00A33BD3">
        <w:rPr>
          <w:rFonts w:ascii="Times New Roman" w:hAnsi="Times New Roman" w:cs="Times New Roman"/>
          <w:sz w:val="24"/>
          <w:szCs w:val="24"/>
        </w:rPr>
        <w:t xml:space="preserve">(AJSM 2016) </w:t>
      </w:r>
      <w:r>
        <w:rPr>
          <w:rFonts w:ascii="Times New Roman" w:hAnsi="Times New Roman" w:cs="Times New Roman"/>
          <w:sz w:val="24"/>
          <w:szCs w:val="24"/>
        </w:rPr>
        <w:t xml:space="preserve">hanno posto la parola fine sul dogma del valgismo </w:t>
      </w:r>
      <w:r w:rsidR="002149EF">
        <w:rPr>
          <w:rFonts w:ascii="Times New Roman" w:hAnsi="Times New Roman" w:cs="Times New Roman"/>
          <w:sz w:val="24"/>
          <w:szCs w:val="24"/>
        </w:rPr>
        <w:t xml:space="preserve">da correggere </w:t>
      </w:r>
      <w:r>
        <w:rPr>
          <w:rFonts w:ascii="Times New Roman" w:hAnsi="Times New Roman" w:cs="Times New Roman"/>
          <w:sz w:val="24"/>
          <w:szCs w:val="24"/>
        </w:rPr>
        <w:t xml:space="preserve">esclusivamente </w:t>
      </w:r>
      <w:r w:rsidR="002149EF">
        <w:rPr>
          <w:rFonts w:ascii="Times New Roman" w:hAnsi="Times New Roman" w:cs="Times New Roman"/>
          <w:sz w:val="24"/>
          <w:szCs w:val="24"/>
        </w:rPr>
        <w:t xml:space="preserve">a livello </w:t>
      </w:r>
      <w:r>
        <w:rPr>
          <w:rFonts w:ascii="Times New Roman" w:hAnsi="Times New Roman" w:cs="Times New Roman"/>
          <w:sz w:val="24"/>
          <w:szCs w:val="24"/>
        </w:rPr>
        <w:t>femorale.</w:t>
      </w:r>
      <w:r w:rsidR="002149EF">
        <w:rPr>
          <w:rFonts w:ascii="Times New Roman" w:hAnsi="Times New Roman" w:cs="Times New Roman"/>
          <w:sz w:val="24"/>
          <w:szCs w:val="24"/>
        </w:rPr>
        <w:t xml:space="preserve"> In questo studio sono riportati l’indicazione, la pianificazione e i risultati di questa tecnica. Da considerare sempre </w:t>
      </w:r>
      <w:r w:rsidRPr="00EB15AD">
        <w:rPr>
          <w:rFonts w:ascii="Times New Roman" w:hAnsi="Times New Roman" w:cs="Times New Roman"/>
          <w:sz w:val="24"/>
          <w:szCs w:val="24"/>
        </w:rPr>
        <w:t>Mikulicz-Joint line angle</w:t>
      </w:r>
      <w:r w:rsidR="002149EF">
        <w:rPr>
          <w:rFonts w:ascii="Times New Roman" w:hAnsi="Times New Roman" w:cs="Times New Roman"/>
          <w:sz w:val="24"/>
          <w:szCs w:val="24"/>
        </w:rPr>
        <w:t>: se</w:t>
      </w:r>
      <w:r w:rsidRPr="00EB15AD">
        <w:rPr>
          <w:rFonts w:ascii="Times New Roman" w:hAnsi="Times New Roman" w:cs="Times New Roman"/>
          <w:sz w:val="24"/>
          <w:szCs w:val="24"/>
        </w:rPr>
        <w:t xml:space="preserve"> su</w:t>
      </w:r>
      <w:r>
        <w:rPr>
          <w:rFonts w:ascii="Times New Roman" w:hAnsi="Times New Roman" w:cs="Times New Roman"/>
          <w:sz w:val="24"/>
          <w:szCs w:val="24"/>
        </w:rPr>
        <w:t xml:space="preserve">pera il valore di 90 gradi +/- </w:t>
      </w:r>
      <w:r w:rsidR="002149EF">
        <w:rPr>
          <w:rFonts w:ascii="Times New Roman" w:hAnsi="Times New Roman" w:cs="Times New Roman"/>
          <w:sz w:val="24"/>
          <w:szCs w:val="24"/>
        </w:rPr>
        <w:t>4 bisogna</w:t>
      </w:r>
      <w:r>
        <w:rPr>
          <w:rFonts w:ascii="Times New Roman" w:hAnsi="Times New Roman" w:cs="Times New Roman"/>
          <w:sz w:val="24"/>
          <w:szCs w:val="24"/>
        </w:rPr>
        <w:t xml:space="preserve"> considerare una osteotomia doppio livello, preservando quindi </w:t>
      </w:r>
      <w:r w:rsidR="002149EF">
        <w:rPr>
          <w:rFonts w:ascii="Times New Roman" w:hAnsi="Times New Roman" w:cs="Times New Roman"/>
          <w:sz w:val="24"/>
          <w:szCs w:val="24"/>
        </w:rPr>
        <w:t>l’obliquità</w:t>
      </w:r>
      <w:r>
        <w:rPr>
          <w:rFonts w:ascii="Times New Roman" w:hAnsi="Times New Roman" w:cs="Times New Roman"/>
          <w:sz w:val="24"/>
          <w:szCs w:val="24"/>
        </w:rPr>
        <w:t xml:space="preserve"> della joint line.</w:t>
      </w:r>
    </w:p>
    <w:p w14:paraId="246203B3" w14:textId="77777777" w:rsidR="00C724C4"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Medial knee osteoarthritis is not uncommon, and high tibial osteotomy (HTO) for some</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surgeons is a unique treatment option for young and active patients. However, the</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deformity is not always located at the level of proximal part of the tibia and the</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overcorrection needed to achieve a lasting functional result can lead to an oblique joint</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line. To avoid this undesirable effect to the joint line, a double-level osteotomy (DLO),</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one at the distal part of the femur and another one at the proximal part of the tibia, is a</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viable option.</w:t>
      </w:r>
    </w:p>
    <w:p w14:paraId="71A42544" w14:textId="3BB4FB5E" w:rsidR="009F74A2"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The aim of this article is to present</w:t>
      </w:r>
      <w:r w:rsidR="00C724C4" w:rsidRPr="00C724C4">
        <w:rPr>
          <w:rFonts w:ascii="Times New Roman" w:hAnsi="Times New Roman" w:cs="Times New Roman"/>
          <w:sz w:val="24"/>
          <w:szCs w:val="24"/>
          <w:lang w:val="en-AU"/>
        </w:rPr>
        <w:t xml:space="preserve"> </w:t>
      </w:r>
      <w:r w:rsidR="00C724C4" w:rsidRPr="002702CA">
        <w:rPr>
          <w:rFonts w:ascii="Times New Roman" w:hAnsi="Times New Roman" w:cs="Times New Roman"/>
          <w:sz w:val="24"/>
          <w:szCs w:val="24"/>
          <w:lang w:val="en-AU"/>
        </w:rPr>
        <w:t>the rationale behind the treatment options</w:t>
      </w:r>
      <w:r w:rsidR="00C724C4">
        <w:rPr>
          <w:rFonts w:ascii="Times New Roman" w:hAnsi="Times New Roman" w:cs="Times New Roman"/>
          <w:sz w:val="24"/>
          <w:szCs w:val="24"/>
          <w:lang w:val="en-AU"/>
        </w:rPr>
        <w:t xml:space="preserve"> describing</w:t>
      </w:r>
      <w:r w:rsidR="00F14C22">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the preoperative radiological</w:t>
      </w:r>
      <w:r w:rsidR="005A204B">
        <w:rPr>
          <w:rFonts w:ascii="Times New Roman" w:hAnsi="Times New Roman" w:cs="Times New Roman"/>
          <w:sz w:val="24"/>
          <w:szCs w:val="24"/>
          <w:lang w:val="en-AU"/>
        </w:rPr>
        <w:t xml:space="preserve"> </w:t>
      </w:r>
      <w:r w:rsidR="00F14C22" w:rsidRPr="002702CA">
        <w:rPr>
          <w:rFonts w:ascii="Times New Roman" w:hAnsi="Times New Roman" w:cs="Times New Roman"/>
          <w:sz w:val="24"/>
          <w:szCs w:val="24"/>
          <w:lang w:val="en-AU"/>
        </w:rPr>
        <w:t>assessment,</w:t>
      </w:r>
      <w:r w:rsidR="00F14C22">
        <w:rPr>
          <w:rFonts w:ascii="Times New Roman" w:hAnsi="Times New Roman" w:cs="Times New Roman"/>
          <w:sz w:val="24"/>
          <w:szCs w:val="24"/>
          <w:lang w:val="en-AU"/>
        </w:rPr>
        <w:t xml:space="preserve"> the</w:t>
      </w:r>
      <w:r w:rsidRPr="002702CA">
        <w:rPr>
          <w:rFonts w:ascii="Times New Roman" w:hAnsi="Times New Roman" w:cs="Times New Roman"/>
          <w:sz w:val="24"/>
          <w:szCs w:val="24"/>
          <w:lang w:val="en-AU"/>
        </w:rPr>
        <w:t xml:space="preserve"> operative procedure</w:t>
      </w:r>
      <w:r w:rsidR="00F14C22">
        <w:rPr>
          <w:rFonts w:ascii="Times New Roman" w:hAnsi="Times New Roman" w:cs="Times New Roman"/>
          <w:sz w:val="24"/>
          <w:szCs w:val="24"/>
          <w:lang w:val="en-AU"/>
        </w:rPr>
        <w:t>,</w:t>
      </w:r>
      <w:r w:rsidR="00C724C4">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the indications of HTO</w:t>
      </w:r>
      <w:r w:rsidR="00F14C22">
        <w:rPr>
          <w:rFonts w:ascii="Times New Roman" w:hAnsi="Times New Roman" w:cs="Times New Roman"/>
          <w:sz w:val="24"/>
          <w:szCs w:val="24"/>
          <w:lang w:val="en-AU"/>
        </w:rPr>
        <w:t>,</w:t>
      </w:r>
      <w:r w:rsidR="00C724C4">
        <w:rPr>
          <w:rFonts w:ascii="Times New Roman" w:hAnsi="Times New Roman" w:cs="Times New Roman"/>
          <w:sz w:val="24"/>
          <w:szCs w:val="24"/>
          <w:lang w:val="en-AU"/>
        </w:rPr>
        <w:t xml:space="preserve"> the indications of </w:t>
      </w:r>
      <w:r w:rsidRPr="002702CA">
        <w:rPr>
          <w:rFonts w:ascii="Times New Roman" w:hAnsi="Times New Roman" w:cs="Times New Roman"/>
          <w:sz w:val="24"/>
          <w:szCs w:val="24"/>
          <w:lang w:val="en-AU"/>
        </w:rPr>
        <w:t>distal femoral osteotomy</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(DFO)</w:t>
      </w:r>
      <w:r w:rsidR="00F14C22">
        <w:rPr>
          <w:rFonts w:ascii="Times New Roman" w:hAnsi="Times New Roman" w:cs="Times New Roman"/>
          <w:sz w:val="24"/>
          <w:szCs w:val="24"/>
          <w:lang w:val="en-AU"/>
        </w:rPr>
        <w:t xml:space="preserve"> and</w:t>
      </w:r>
      <w:r w:rsidR="00C724C4">
        <w:rPr>
          <w:rFonts w:ascii="Times New Roman" w:hAnsi="Times New Roman" w:cs="Times New Roman"/>
          <w:sz w:val="24"/>
          <w:szCs w:val="24"/>
          <w:lang w:val="en-AU"/>
        </w:rPr>
        <w:t xml:space="preserve"> the indications of </w:t>
      </w:r>
      <w:r w:rsidRPr="002702CA">
        <w:rPr>
          <w:rFonts w:ascii="Times New Roman" w:hAnsi="Times New Roman" w:cs="Times New Roman"/>
          <w:sz w:val="24"/>
          <w:szCs w:val="24"/>
          <w:lang w:val="en-AU"/>
        </w:rPr>
        <w:t>DLO</w:t>
      </w:r>
      <w:r w:rsidR="00F14C22">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Long-leg</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radiographs are</w:t>
      </w:r>
      <w:r w:rsidR="00F56551">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mandatory to</w:t>
      </w:r>
      <w:r w:rsidR="00F56551">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measure the hip–knee–ankle angle, and the femoral and</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 xml:space="preserve">tibial mechanical axes to plan the location of the osteotomy. </w:t>
      </w:r>
      <w:r w:rsidR="00F14C22">
        <w:rPr>
          <w:rFonts w:ascii="Times New Roman" w:hAnsi="Times New Roman" w:cs="Times New Roman"/>
          <w:sz w:val="24"/>
          <w:szCs w:val="24"/>
          <w:lang w:val="en-AU"/>
        </w:rPr>
        <w:t xml:space="preserve"> The surgical procedure is computer navigation aided. After standard navigation set up in genu varum closing wedge distal femoral osteotomy is performed first, removing a 5-6 mm bone wedge. Osteotomy is then fixed with a locking plate. Second step is on the tibia. A traditional </w:t>
      </w:r>
      <w:r w:rsidR="009F74A2">
        <w:rPr>
          <w:rFonts w:ascii="Times New Roman" w:hAnsi="Times New Roman" w:cs="Times New Roman"/>
          <w:sz w:val="24"/>
          <w:szCs w:val="24"/>
          <w:lang w:val="en-AU"/>
        </w:rPr>
        <w:t xml:space="preserve">medial opening </w:t>
      </w:r>
      <w:r w:rsidR="00F14C22">
        <w:rPr>
          <w:rFonts w:ascii="Times New Roman" w:hAnsi="Times New Roman" w:cs="Times New Roman"/>
          <w:sz w:val="24"/>
          <w:szCs w:val="24"/>
          <w:lang w:val="en-AU"/>
        </w:rPr>
        <w:t xml:space="preserve">osteotomy is </w:t>
      </w:r>
      <w:proofErr w:type="gramStart"/>
      <w:r w:rsidR="00F14C22">
        <w:rPr>
          <w:rFonts w:ascii="Times New Roman" w:hAnsi="Times New Roman" w:cs="Times New Roman"/>
          <w:sz w:val="24"/>
          <w:szCs w:val="24"/>
          <w:lang w:val="en-AU"/>
        </w:rPr>
        <w:t>performed</w:t>
      </w:r>
      <w:proofErr w:type="gramEnd"/>
      <w:r w:rsidR="009F74A2">
        <w:rPr>
          <w:rFonts w:ascii="Times New Roman" w:hAnsi="Times New Roman" w:cs="Times New Roman"/>
          <w:sz w:val="24"/>
          <w:szCs w:val="24"/>
          <w:lang w:val="en-AU"/>
        </w:rPr>
        <w:t xml:space="preserve"> and navigation is used to fine tune the lower limb alignment to the desired correction.</w:t>
      </w:r>
      <w:r w:rsidR="00F14C22">
        <w:rPr>
          <w:rFonts w:ascii="Times New Roman" w:hAnsi="Times New Roman" w:cs="Times New Roman"/>
          <w:sz w:val="24"/>
          <w:szCs w:val="24"/>
          <w:lang w:val="en-AU"/>
        </w:rPr>
        <w:t xml:space="preserve">  </w:t>
      </w:r>
    </w:p>
    <w:p w14:paraId="0B90805A" w14:textId="291C2AD4" w:rsidR="009F74A2" w:rsidRDefault="009F74A2" w:rsidP="009F74A2">
      <w:pPr>
        <w:jc w:val="center"/>
        <w:rPr>
          <w:rFonts w:ascii="Times New Roman" w:hAnsi="Times New Roman" w:cs="Times New Roman"/>
          <w:sz w:val="24"/>
          <w:szCs w:val="24"/>
          <w:lang w:val="en-AU"/>
        </w:rPr>
      </w:pPr>
      <w:r>
        <w:rPr>
          <w:rFonts w:ascii="Times New Roman" w:hAnsi="Times New Roman" w:cs="Times New Roman"/>
          <w:sz w:val="24"/>
          <w:szCs w:val="24"/>
          <w:lang w:val="en-AU"/>
        </w:rPr>
        <w:t xml:space="preserve">Fig 1 </w:t>
      </w:r>
      <w:r w:rsidRPr="009F74A2">
        <w:rPr>
          <w:rFonts w:ascii="Times New Roman" w:hAnsi="Times New Roman" w:cs="Times New Roman"/>
          <w:noProof/>
          <w:sz w:val="24"/>
          <w:szCs w:val="24"/>
          <w:lang w:val="en-AU"/>
        </w:rPr>
        <w:drawing>
          <wp:inline distT="0" distB="0" distL="0" distR="0" wp14:anchorId="43E83E56" wp14:editId="546A0630">
            <wp:extent cx="1571545" cy="1934550"/>
            <wp:effectExtent l="0" t="0" r="0" b="889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9663" cy="1956853"/>
                    </a:xfrm>
                    <a:prstGeom prst="rect">
                      <a:avLst/>
                    </a:prstGeom>
                    <a:noFill/>
                    <a:ln>
                      <a:noFill/>
                    </a:ln>
                  </pic:spPr>
                </pic:pic>
              </a:graphicData>
            </a:graphic>
          </wp:inline>
        </w:drawing>
      </w:r>
      <w:r>
        <w:rPr>
          <w:rFonts w:ascii="Times New Roman" w:hAnsi="Times New Roman" w:cs="Times New Roman"/>
          <w:sz w:val="24"/>
          <w:szCs w:val="24"/>
          <w:lang w:val="en-AU"/>
        </w:rPr>
        <w:t xml:space="preserve">     Fig.2 </w:t>
      </w:r>
      <w:r w:rsidRPr="009F74A2">
        <w:rPr>
          <w:rFonts w:ascii="Times New Roman" w:hAnsi="Times New Roman" w:cs="Times New Roman"/>
          <w:noProof/>
          <w:sz w:val="24"/>
          <w:szCs w:val="24"/>
          <w:lang w:val="en-AU"/>
        </w:rPr>
        <w:drawing>
          <wp:inline distT="0" distB="0" distL="0" distR="0" wp14:anchorId="1F4A8EB4" wp14:editId="441D109B">
            <wp:extent cx="1628775" cy="1933902"/>
            <wp:effectExtent l="0" t="0" r="0"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6441" cy="1943005"/>
                    </a:xfrm>
                    <a:prstGeom prst="rect">
                      <a:avLst/>
                    </a:prstGeom>
                    <a:noFill/>
                    <a:ln>
                      <a:noFill/>
                    </a:ln>
                  </pic:spPr>
                </pic:pic>
              </a:graphicData>
            </a:graphic>
          </wp:inline>
        </w:drawing>
      </w:r>
    </w:p>
    <w:p w14:paraId="1B29A875" w14:textId="7F02053D" w:rsidR="009F74A2" w:rsidRDefault="009F74A2" w:rsidP="002702CA">
      <w:pPr>
        <w:jc w:val="both"/>
        <w:rPr>
          <w:rFonts w:ascii="Times New Roman" w:hAnsi="Times New Roman" w:cs="Times New Roman"/>
          <w:sz w:val="24"/>
          <w:szCs w:val="24"/>
          <w:lang w:val="en-AU"/>
        </w:rPr>
      </w:pPr>
      <w:r>
        <w:rPr>
          <w:rFonts w:ascii="Times New Roman" w:hAnsi="Times New Roman" w:cs="Times New Roman"/>
          <w:sz w:val="24"/>
          <w:szCs w:val="24"/>
          <w:lang w:val="en-AU"/>
        </w:rPr>
        <w:t>Fig: preoperative alignment. Fig:2 Postoperative alignment</w:t>
      </w:r>
    </w:p>
    <w:p w14:paraId="4E3FC00B" w14:textId="77777777" w:rsidR="009F74A2" w:rsidRDefault="009F74A2" w:rsidP="002702CA">
      <w:pPr>
        <w:jc w:val="both"/>
        <w:rPr>
          <w:rFonts w:ascii="Times New Roman" w:hAnsi="Times New Roman" w:cs="Times New Roman"/>
          <w:sz w:val="24"/>
          <w:szCs w:val="24"/>
          <w:lang w:val="en-AU"/>
        </w:rPr>
      </w:pPr>
    </w:p>
    <w:p w14:paraId="5577F92A" w14:textId="77777777" w:rsidR="009F74A2" w:rsidRDefault="009F74A2" w:rsidP="002702CA">
      <w:pPr>
        <w:jc w:val="both"/>
        <w:rPr>
          <w:rFonts w:ascii="Times New Roman" w:hAnsi="Times New Roman" w:cs="Times New Roman"/>
          <w:sz w:val="24"/>
          <w:szCs w:val="24"/>
          <w:lang w:val="en-AU"/>
        </w:rPr>
      </w:pPr>
    </w:p>
    <w:p w14:paraId="026C3C56" w14:textId="21DF9570" w:rsidR="003F118B"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This argument can be applied to a genu valgum deformity, especially when the femur is</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 xml:space="preserve">in valgus as well as the tibia, which is not rare. </w:t>
      </w:r>
      <w:r w:rsidR="003F118B">
        <w:rPr>
          <w:rFonts w:ascii="Times New Roman" w:hAnsi="Times New Roman" w:cs="Times New Roman"/>
          <w:sz w:val="24"/>
          <w:szCs w:val="24"/>
          <w:lang w:val="en-AU"/>
        </w:rPr>
        <w:t>Attention is payed to the tibia first, with a medial closing wedge osteotomy of 4-5 mm. Then a distal lateral opening wedge osteotomy is performed to correct the limb alignment.</w:t>
      </w:r>
    </w:p>
    <w:p w14:paraId="1974B777" w14:textId="472C767A" w:rsidR="003F118B" w:rsidRDefault="003F118B" w:rsidP="003F118B">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Results: </w:t>
      </w:r>
      <w:r w:rsidRPr="003F118B">
        <w:rPr>
          <w:rFonts w:ascii="Times New Roman" w:hAnsi="Times New Roman" w:cs="Times New Roman"/>
          <w:sz w:val="24"/>
          <w:szCs w:val="24"/>
          <w:lang w:val="en-AU"/>
        </w:rPr>
        <w:t>In our series based on 42 computer-assisted cases,20 we</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had no complication but one case of recurrence of the</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deformity related to an impaction of the femoral osteotomy</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on the medial side</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All the patients were assessed at a</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 xml:space="preserve">mean follow-up of 46 </w:t>
      </w:r>
      <w:r>
        <w:rPr>
          <w:rFonts w:ascii="Times New Roman" w:hAnsi="Times New Roman" w:cs="Times New Roman"/>
          <w:sz w:val="24"/>
          <w:szCs w:val="24"/>
          <w:lang w:val="en-AU"/>
        </w:rPr>
        <w:t>+/-</w:t>
      </w:r>
      <w:r w:rsidRPr="003F118B">
        <w:rPr>
          <w:rFonts w:ascii="Times New Roman" w:hAnsi="Times New Roman" w:cs="Times New Roman"/>
          <w:sz w:val="24"/>
          <w:szCs w:val="24"/>
          <w:lang w:val="en-AU"/>
        </w:rPr>
        <w:t xml:space="preserve"> 27 months (12–108). The mean</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 xml:space="preserve">Lyshölm–Tegner’s score24 was 83.3 </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7.5 points (62–91)</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and the mean Knee injury and Osteoarthritis Outcome Score</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score25 was 95.1</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 xml:space="preserve"> 3.2 points (89–100).</w:t>
      </w:r>
      <w:r>
        <w:rPr>
          <w:rFonts w:ascii="Times New Roman" w:hAnsi="Times New Roman" w:cs="Times New Roman"/>
          <w:sz w:val="24"/>
          <w:szCs w:val="24"/>
          <w:lang w:val="en-AU"/>
        </w:rPr>
        <w:t xml:space="preserve"> Forty patients were </w:t>
      </w:r>
      <w:r w:rsidRPr="003F118B">
        <w:rPr>
          <w:rFonts w:ascii="Times New Roman" w:hAnsi="Times New Roman" w:cs="Times New Roman"/>
          <w:sz w:val="24"/>
          <w:szCs w:val="24"/>
          <w:lang w:val="en-AU"/>
        </w:rPr>
        <w:t>satisfied (22) or very satisfied (18) of the result.</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Regarding DLO for genu valgum deformity, no article was</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 xml:space="preserve">published in the </w:t>
      </w:r>
      <w:proofErr w:type="gramStart"/>
      <w:r w:rsidRPr="003F118B">
        <w:rPr>
          <w:rFonts w:ascii="Times New Roman" w:hAnsi="Times New Roman" w:cs="Times New Roman"/>
          <w:sz w:val="24"/>
          <w:szCs w:val="24"/>
          <w:lang w:val="en-AU"/>
        </w:rPr>
        <w:t>literature</w:t>
      </w:r>
      <w:proofErr w:type="gramEnd"/>
      <w:r w:rsidRPr="003F118B">
        <w:rPr>
          <w:rFonts w:ascii="Times New Roman" w:hAnsi="Times New Roman" w:cs="Times New Roman"/>
          <w:sz w:val="24"/>
          <w:szCs w:val="24"/>
          <w:lang w:val="en-AU"/>
        </w:rPr>
        <w:t xml:space="preserve"> but we reported five cases in a</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series of 29 navigated osteotomies for genu valgum.21 The</w:t>
      </w:r>
      <w:r>
        <w:rPr>
          <w:rFonts w:ascii="Times New Roman" w:hAnsi="Times New Roman" w:cs="Times New Roman"/>
          <w:sz w:val="24"/>
          <w:szCs w:val="24"/>
          <w:lang w:val="en-AU"/>
        </w:rPr>
        <w:t xml:space="preserve"> </w:t>
      </w:r>
      <w:r w:rsidRPr="003F118B">
        <w:rPr>
          <w:rFonts w:ascii="Times New Roman" w:hAnsi="Times New Roman" w:cs="Times New Roman"/>
          <w:sz w:val="24"/>
          <w:szCs w:val="24"/>
          <w:lang w:val="en-AU"/>
        </w:rPr>
        <w:t>results were as good as for genu varum</w:t>
      </w:r>
      <w:r w:rsidR="007113EE">
        <w:rPr>
          <w:rFonts w:ascii="Times New Roman" w:hAnsi="Times New Roman" w:cs="Times New Roman"/>
          <w:sz w:val="24"/>
          <w:szCs w:val="24"/>
          <w:lang w:val="en-AU"/>
        </w:rPr>
        <w:t>.</w:t>
      </w:r>
    </w:p>
    <w:p w14:paraId="0FC9FBAB" w14:textId="77777777" w:rsidR="007113EE" w:rsidRDefault="007113EE" w:rsidP="003F118B">
      <w:pPr>
        <w:jc w:val="both"/>
        <w:rPr>
          <w:rFonts w:ascii="Times New Roman" w:hAnsi="Times New Roman" w:cs="Times New Roman"/>
          <w:sz w:val="24"/>
          <w:szCs w:val="24"/>
          <w:lang w:val="en-AU"/>
        </w:rPr>
      </w:pPr>
    </w:p>
    <w:p w14:paraId="019E8172" w14:textId="3408E018" w:rsidR="003F118B" w:rsidRDefault="007113EE" w:rsidP="002702CA">
      <w:pPr>
        <w:jc w:val="both"/>
        <w:rPr>
          <w:rFonts w:ascii="Times New Roman" w:hAnsi="Times New Roman" w:cs="Times New Roman"/>
          <w:sz w:val="24"/>
          <w:szCs w:val="24"/>
          <w:lang w:val="en-AU"/>
        </w:rPr>
      </w:pPr>
      <w:r w:rsidRPr="007113EE">
        <w:rPr>
          <w:rFonts w:ascii="Times New Roman" w:hAnsi="Times New Roman" w:cs="Times New Roman"/>
          <w:noProof/>
          <w:sz w:val="24"/>
          <w:szCs w:val="24"/>
          <w:lang w:val="en-AU"/>
        </w:rPr>
        <w:drawing>
          <wp:inline distT="0" distB="0" distL="0" distR="0" wp14:anchorId="417F11BE" wp14:editId="7D6FDADE">
            <wp:extent cx="6120130" cy="1422400"/>
            <wp:effectExtent l="0" t="0" r="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1422400"/>
                    </a:xfrm>
                    <a:prstGeom prst="rect">
                      <a:avLst/>
                    </a:prstGeom>
                    <a:noFill/>
                    <a:ln>
                      <a:noFill/>
                    </a:ln>
                  </pic:spPr>
                </pic:pic>
              </a:graphicData>
            </a:graphic>
          </wp:inline>
        </w:drawing>
      </w:r>
    </w:p>
    <w:p w14:paraId="36B60083" w14:textId="05B165E4" w:rsidR="00921611"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Although the operative technique is</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demanding, the biggest challenge is not the procedure itself but rather how to reach</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the exact degree of overcorrection. Computer-assisted surgery is a good alternative</w:t>
      </w:r>
      <w:r w:rsidR="005A204B">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and can improve the accuracy of the surgery.</w:t>
      </w:r>
    </w:p>
    <w:p w14:paraId="1FA2641E" w14:textId="77777777" w:rsidR="007E44AE" w:rsidRPr="00604744" w:rsidRDefault="007E44AE" w:rsidP="002702CA">
      <w:pPr>
        <w:jc w:val="both"/>
        <w:rPr>
          <w:rFonts w:ascii="Times New Roman" w:hAnsi="Times New Roman" w:cs="Times New Roman"/>
          <w:sz w:val="24"/>
          <w:szCs w:val="24"/>
          <w:lang w:val="en-AU"/>
        </w:rPr>
      </w:pPr>
    </w:p>
    <w:p w14:paraId="7F3E725C" w14:textId="2363C4F8" w:rsidR="00921611" w:rsidRPr="000A0317" w:rsidRDefault="00F56551" w:rsidP="00130DB3">
      <w:pPr>
        <w:pStyle w:val="Paragrafoelenco"/>
        <w:numPr>
          <w:ilvl w:val="0"/>
          <w:numId w:val="7"/>
        </w:num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 </w:t>
      </w:r>
      <w:r w:rsidR="00921611" w:rsidRPr="000A0317">
        <w:rPr>
          <w:rFonts w:ascii="Times New Roman" w:hAnsi="Times New Roman" w:cs="Times New Roman"/>
          <w:sz w:val="24"/>
          <w:szCs w:val="24"/>
          <w:lang w:val="en-AU"/>
        </w:rPr>
        <w:t>DFO</w:t>
      </w:r>
    </w:p>
    <w:p w14:paraId="1C9D0D60" w14:textId="33E79B48" w:rsidR="002702CA" w:rsidRDefault="002702CA" w:rsidP="00604744">
      <w:pPr>
        <w:jc w:val="both"/>
        <w:rPr>
          <w:rFonts w:ascii="Times New Roman" w:hAnsi="Times New Roman" w:cs="Times New Roman"/>
          <w:sz w:val="24"/>
          <w:szCs w:val="24"/>
          <w:lang w:val="en-AU"/>
        </w:rPr>
      </w:pPr>
    </w:p>
    <w:p w14:paraId="312370A1" w14:textId="0D3AE138" w:rsidR="002702CA" w:rsidRDefault="007E44AE" w:rsidP="00604744">
      <w:pPr>
        <w:jc w:val="both"/>
        <w:rPr>
          <w:rFonts w:ascii="Times New Roman" w:hAnsi="Times New Roman" w:cs="Times New Roman"/>
          <w:sz w:val="24"/>
          <w:szCs w:val="24"/>
          <w:lang w:val="en-AU"/>
        </w:rPr>
      </w:pPr>
      <w:r w:rsidRPr="007E44AE">
        <w:rPr>
          <w:rFonts w:ascii="Times New Roman" w:hAnsi="Times New Roman" w:cs="Times New Roman"/>
          <w:sz w:val="24"/>
          <w:szCs w:val="24"/>
          <w:lang w:val="en-AU"/>
        </w:rPr>
        <w:t xml:space="preserve">James D. Wylie, </w:t>
      </w:r>
      <w:r w:rsidR="005A204B">
        <w:rPr>
          <w:rFonts w:ascii="Times New Roman" w:hAnsi="Times New Roman" w:cs="Times New Roman"/>
          <w:sz w:val="24"/>
          <w:szCs w:val="24"/>
          <w:lang w:val="en-AU"/>
        </w:rPr>
        <w:t xml:space="preserve"> </w:t>
      </w:r>
      <w:r w:rsidRPr="007E44AE">
        <w:rPr>
          <w:rFonts w:ascii="Times New Roman" w:hAnsi="Times New Roman" w:cs="Times New Roman"/>
          <w:sz w:val="24"/>
          <w:szCs w:val="24"/>
          <w:lang w:val="en-AU"/>
        </w:rPr>
        <w:t xml:space="preserve"> Daniel L. Jones, </w:t>
      </w:r>
      <w:r w:rsidR="005A204B">
        <w:rPr>
          <w:rFonts w:ascii="Times New Roman" w:hAnsi="Times New Roman" w:cs="Times New Roman"/>
          <w:sz w:val="24"/>
          <w:szCs w:val="24"/>
          <w:lang w:val="en-AU"/>
        </w:rPr>
        <w:t xml:space="preserve"> </w:t>
      </w:r>
      <w:r w:rsidRPr="007E44AE">
        <w:rPr>
          <w:rFonts w:ascii="Times New Roman" w:hAnsi="Times New Roman" w:cs="Times New Roman"/>
          <w:sz w:val="24"/>
          <w:szCs w:val="24"/>
          <w:lang w:val="en-AU"/>
        </w:rPr>
        <w:t>Melissa K. Hartley, B.A.,</w:t>
      </w:r>
      <w:r>
        <w:rPr>
          <w:rFonts w:ascii="Times New Roman" w:hAnsi="Times New Roman" w:cs="Times New Roman"/>
          <w:sz w:val="24"/>
          <w:szCs w:val="24"/>
          <w:lang w:val="en-AU"/>
        </w:rPr>
        <w:t xml:space="preserve"> </w:t>
      </w:r>
      <w:r w:rsidRPr="007E44AE">
        <w:rPr>
          <w:rFonts w:ascii="Times New Roman" w:hAnsi="Times New Roman" w:cs="Times New Roman"/>
          <w:sz w:val="24"/>
          <w:szCs w:val="24"/>
          <w:lang w:val="en-AU"/>
        </w:rPr>
        <w:t xml:space="preserve">Ashley L. Kapron, </w:t>
      </w:r>
      <w:r w:rsidR="00617BB9">
        <w:rPr>
          <w:rFonts w:ascii="Times New Roman" w:hAnsi="Times New Roman" w:cs="Times New Roman"/>
          <w:sz w:val="24"/>
          <w:szCs w:val="24"/>
          <w:lang w:val="en-AU"/>
        </w:rPr>
        <w:t xml:space="preserve"> </w:t>
      </w:r>
      <w:r w:rsidRPr="007E44AE">
        <w:rPr>
          <w:rFonts w:ascii="Times New Roman" w:hAnsi="Times New Roman" w:cs="Times New Roman"/>
          <w:sz w:val="24"/>
          <w:szCs w:val="24"/>
          <w:lang w:val="en-AU"/>
        </w:rPr>
        <w:t xml:space="preserve"> Aaron J. Krych, </w:t>
      </w:r>
      <w:r w:rsidR="00617BB9">
        <w:rPr>
          <w:rFonts w:ascii="Times New Roman" w:hAnsi="Times New Roman" w:cs="Times New Roman"/>
          <w:sz w:val="24"/>
          <w:szCs w:val="24"/>
          <w:lang w:val="en-AU"/>
        </w:rPr>
        <w:t xml:space="preserve"> </w:t>
      </w:r>
      <w:r w:rsidRPr="007E44AE">
        <w:rPr>
          <w:rFonts w:ascii="Times New Roman" w:hAnsi="Times New Roman" w:cs="Times New Roman"/>
          <w:sz w:val="24"/>
          <w:szCs w:val="24"/>
          <w:lang w:val="en-AU"/>
        </w:rPr>
        <w:t xml:space="preserve">, Stephen K. Aoki, </w:t>
      </w:r>
      <w:r w:rsidR="00617BB9">
        <w:rPr>
          <w:rFonts w:ascii="Times New Roman" w:hAnsi="Times New Roman" w:cs="Times New Roman"/>
          <w:sz w:val="24"/>
          <w:szCs w:val="24"/>
          <w:lang w:val="en-AU"/>
        </w:rPr>
        <w:t xml:space="preserve"> </w:t>
      </w:r>
      <w:r w:rsidRPr="007E44AE">
        <w:rPr>
          <w:rFonts w:ascii="Times New Roman" w:hAnsi="Times New Roman" w:cs="Times New Roman"/>
          <w:sz w:val="24"/>
          <w:szCs w:val="24"/>
          <w:lang w:val="en-AU"/>
        </w:rPr>
        <w:t xml:space="preserve"> and</w:t>
      </w:r>
      <w:r>
        <w:rPr>
          <w:rFonts w:ascii="Times New Roman" w:hAnsi="Times New Roman" w:cs="Times New Roman"/>
          <w:sz w:val="24"/>
          <w:szCs w:val="24"/>
          <w:lang w:val="en-AU"/>
        </w:rPr>
        <w:t xml:space="preserve"> </w:t>
      </w:r>
      <w:r w:rsidRPr="007E44AE">
        <w:rPr>
          <w:rFonts w:ascii="Times New Roman" w:hAnsi="Times New Roman" w:cs="Times New Roman"/>
          <w:sz w:val="24"/>
          <w:szCs w:val="24"/>
          <w:lang w:val="en-AU"/>
        </w:rPr>
        <w:t>Travis G. Maak</w:t>
      </w:r>
      <w:r>
        <w:rPr>
          <w:rFonts w:ascii="Times New Roman" w:hAnsi="Times New Roman" w:cs="Times New Roman"/>
          <w:sz w:val="24"/>
          <w:szCs w:val="24"/>
          <w:lang w:val="en-AU"/>
        </w:rPr>
        <w:t xml:space="preserve"> </w:t>
      </w:r>
      <w:r w:rsidR="00CC192D">
        <w:rPr>
          <w:rFonts w:ascii="Times New Roman" w:hAnsi="Times New Roman" w:cs="Times New Roman"/>
          <w:sz w:val="24"/>
          <w:szCs w:val="24"/>
          <w:lang w:val="en-AU"/>
        </w:rPr>
        <w:t xml:space="preserve"> </w:t>
      </w:r>
      <w:r w:rsidR="002702CA" w:rsidRPr="002702CA">
        <w:rPr>
          <w:rFonts w:ascii="Times New Roman" w:hAnsi="Times New Roman" w:cs="Times New Roman"/>
          <w:sz w:val="24"/>
          <w:szCs w:val="24"/>
          <w:lang w:val="en-AU"/>
        </w:rPr>
        <w:t>Distal Femoral Osteotomy for the Valgus Knee:</w:t>
      </w:r>
      <w:r w:rsidR="002702CA">
        <w:rPr>
          <w:rFonts w:ascii="Times New Roman" w:hAnsi="Times New Roman" w:cs="Times New Roman"/>
          <w:sz w:val="24"/>
          <w:szCs w:val="24"/>
          <w:lang w:val="en-AU"/>
        </w:rPr>
        <w:t xml:space="preserve">  </w:t>
      </w:r>
      <w:r w:rsidR="002702CA" w:rsidRPr="002702CA">
        <w:rPr>
          <w:rFonts w:ascii="Times New Roman" w:hAnsi="Times New Roman" w:cs="Times New Roman"/>
          <w:sz w:val="24"/>
          <w:szCs w:val="24"/>
          <w:lang w:val="en-AU"/>
        </w:rPr>
        <w:t>Medial Closing Wedge Versus Lateral Opening</w:t>
      </w:r>
      <w:r w:rsidR="00CC192D">
        <w:rPr>
          <w:rFonts w:ascii="Times New Roman" w:hAnsi="Times New Roman" w:cs="Times New Roman"/>
          <w:sz w:val="24"/>
          <w:szCs w:val="24"/>
          <w:lang w:val="en-AU"/>
        </w:rPr>
        <w:t xml:space="preserve"> </w:t>
      </w:r>
      <w:r w:rsidR="002702CA" w:rsidRPr="002702CA">
        <w:rPr>
          <w:rFonts w:ascii="Times New Roman" w:hAnsi="Times New Roman" w:cs="Times New Roman"/>
          <w:sz w:val="24"/>
          <w:szCs w:val="24"/>
          <w:lang w:val="en-AU"/>
        </w:rPr>
        <w:t>Wedge: A Systematic Review</w:t>
      </w:r>
      <w:r w:rsidR="002702CA">
        <w:rPr>
          <w:rFonts w:ascii="Times New Roman" w:hAnsi="Times New Roman" w:cs="Times New Roman"/>
          <w:sz w:val="24"/>
          <w:szCs w:val="24"/>
          <w:lang w:val="en-AU"/>
        </w:rPr>
        <w:t xml:space="preserve"> </w:t>
      </w:r>
      <w:r w:rsidR="00CC192D">
        <w:rPr>
          <w:rFonts w:ascii="Times New Roman" w:hAnsi="Times New Roman" w:cs="Times New Roman"/>
          <w:sz w:val="24"/>
          <w:szCs w:val="24"/>
          <w:lang w:val="en-AU"/>
        </w:rPr>
        <w:t xml:space="preserve"> </w:t>
      </w:r>
      <w:r w:rsidR="00617BB9" w:rsidRPr="007E44AE">
        <w:rPr>
          <w:rFonts w:ascii="Times New Roman" w:hAnsi="Times New Roman" w:cs="Times New Roman"/>
          <w:sz w:val="24"/>
          <w:szCs w:val="24"/>
          <w:lang w:val="en-AU"/>
        </w:rPr>
        <w:t>Arthroscopy: The Journal of Arthroscopic and Related Surgery, Vol 32, No 10 (October), 2016: pp 2141-2147</w:t>
      </w:r>
    </w:p>
    <w:p w14:paraId="35DB125E" w14:textId="597B28B5" w:rsidR="007E44AE" w:rsidRDefault="007E44AE" w:rsidP="00604744">
      <w:pPr>
        <w:jc w:val="both"/>
        <w:rPr>
          <w:rFonts w:ascii="Times New Roman" w:hAnsi="Times New Roman" w:cs="Times New Roman"/>
          <w:sz w:val="24"/>
          <w:szCs w:val="24"/>
          <w:lang w:val="en-AU"/>
        </w:rPr>
      </w:pPr>
    </w:p>
    <w:p w14:paraId="0A23F134" w14:textId="1964B063" w:rsidR="00415F57" w:rsidRDefault="00415F57" w:rsidP="00604744">
      <w:pPr>
        <w:jc w:val="both"/>
        <w:rPr>
          <w:rFonts w:ascii="Times New Roman" w:hAnsi="Times New Roman" w:cs="Times New Roman"/>
          <w:sz w:val="24"/>
          <w:szCs w:val="24"/>
        </w:rPr>
      </w:pPr>
      <w:r w:rsidRPr="00415F57">
        <w:rPr>
          <w:rFonts w:ascii="Times New Roman" w:hAnsi="Times New Roman" w:cs="Times New Roman"/>
          <w:sz w:val="24"/>
          <w:szCs w:val="24"/>
        </w:rPr>
        <w:t>Le osteotomie distali di f</w:t>
      </w:r>
      <w:r>
        <w:rPr>
          <w:rFonts w:ascii="Times New Roman" w:hAnsi="Times New Roman" w:cs="Times New Roman"/>
          <w:sz w:val="24"/>
          <w:szCs w:val="24"/>
        </w:rPr>
        <w:t xml:space="preserve">emore sono utilizzate per il trattamento della deformità </w:t>
      </w:r>
      <w:proofErr w:type="gramStart"/>
      <w:r>
        <w:rPr>
          <w:rFonts w:ascii="Times New Roman" w:hAnsi="Times New Roman" w:cs="Times New Roman"/>
          <w:sz w:val="24"/>
          <w:szCs w:val="24"/>
        </w:rPr>
        <w:t>femorale  con</w:t>
      </w:r>
      <w:proofErr w:type="gramEnd"/>
      <w:r>
        <w:rPr>
          <w:rFonts w:ascii="Times New Roman" w:hAnsi="Times New Roman" w:cs="Times New Roman"/>
          <w:sz w:val="24"/>
          <w:szCs w:val="24"/>
        </w:rPr>
        <w:t xml:space="preserve"> allineamento valgo o varo del ginocchio. Le tecniche utilizzate possono essere in chiusura o apertura.</w:t>
      </w:r>
    </w:p>
    <w:p w14:paraId="0480ED25" w14:textId="5C1E4695" w:rsidR="00415F57" w:rsidRPr="00415F57" w:rsidRDefault="00415F57" w:rsidP="00604744">
      <w:pPr>
        <w:jc w:val="both"/>
        <w:rPr>
          <w:rFonts w:ascii="Times New Roman" w:hAnsi="Times New Roman" w:cs="Times New Roman"/>
          <w:sz w:val="24"/>
          <w:szCs w:val="24"/>
        </w:rPr>
      </w:pPr>
      <w:r>
        <w:rPr>
          <w:rFonts w:ascii="Times New Roman" w:hAnsi="Times New Roman" w:cs="Times New Roman"/>
          <w:sz w:val="24"/>
          <w:szCs w:val="24"/>
        </w:rPr>
        <w:t>La scelta ricade sulle preferenze del chirurgo. In questa metanalisi di studi retrospettivi non ci sono sostanziali differenze tra le due tecniche.</w:t>
      </w:r>
    </w:p>
    <w:p w14:paraId="7CBF09E4" w14:textId="47EB713B" w:rsidR="002702CA" w:rsidRPr="00415F57" w:rsidRDefault="002702CA" w:rsidP="00604744">
      <w:pPr>
        <w:jc w:val="both"/>
        <w:rPr>
          <w:rFonts w:ascii="Times New Roman" w:hAnsi="Times New Roman" w:cs="Times New Roman"/>
          <w:sz w:val="24"/>
          <w:szCs w:val="24"/>
        </w:rPr>
      </w:pPr>
    </w:p>
    <w:p w14:paraId="1DDB00D0" w14:textId="20D543A5" w:rsidR="002149EF" w:rsidRDefault="00415F57" w:rsidP="002702CA">
      <w:pPr>
        <w:jc w:val="both"/>
        <w:rPr>
          <w:rFonts w:ascii="Times New Roman" w:hAnsi="Times New Roman" w:cs="Times New Roman"/>
          <w:sz w:val="24"/>
          <w:szCs w:val="24"/>
          <w:lang w:val="en-AU"/>
        </w:rPr>
      </w:pPr>
      <w:proofErr w:type="gramStart"/>
      <w:r>
        <w:rPr>
          <w:rFonts w:ascii="Times New Roman" w:hAnsi="Times New Roman" w:cs="Times New Roman"/>
          <w:sz w:val="24"/>
          <w:szCs w:val="24"/>
          <w:lang w:val="en-AU"/>
        </w:rPr>
        <w:t>Introduction:</w:t>
      </w:r>
      <w:r w:rsidR="002702CA" w:rsidRPr="002702CA">
        <w:rPr>
          <w:rFonts w:ascii="Times New Roman" w:hAnsi="Times New Roman" w:cs="Times New Roman"/>
          <w:sz w:val="24"/>
          <w:szCs w:val="24"/>
          <w:lang w:val="en-AU"/>
        </w:rPr>
        <w:t>To</w:t>
      </w:r>
      <w:proofErr w:type="gramEnd"/>
      <w:r w:rsidR="002702CA" w:rsidRPr="002702CA">
        <w:rPr>
          <w:rFonts w:ascii="Times New Roman" w:hAnsi="Times New Roman" w:cs="Times New Roman"/>
          <w:sz w:val="24"/>
          <w:szCs w:val="24"/>
          <w:lang w:val="en-AU"/>
        </w:rPr>
        <w:t xml:space="preserve"> determine the radiographic correction/healing rate, patient-reported outcomes, reoperation rate, and</w:t>
      </w:r>
      <w:r w:rsidR="00617BB9">
        <w:rPr>
          <w:rFonts w:ascii="Times New Roman" w:hAnsi="Times New Roman" w:cs="Times New Roman"/>
          <w:sz w:val="24"/>
          <w:szCs w:val="24"/>
          <w:lang w:val="en-AU"/>
        </w:rPr>
        <w:t xml:space="preserve"> </w:t>
      </w:r>
      <w:r w:rsidR="002702CA" w:rsidRPr="002702CA">
        <w:rPr>
          <w:rFonts w:ascii="Times New Roman" w:hAnsi="Times New Roman" w:cs="Times New Roman"/>
          <w:sz w:val="24"/>
          <w:szCs w:val="24"/>
          <w:lang w:val="en-AU"/>
        </w:rPr>
        <w:t xml:space="preserve">complication rate after distal femoral osteotomy (DFO) for the valgus knee with </w:t>
      </w:r>
      <w:r w:rsidR="002702CA" w:rsidRPr="002702CA">
        <w:rPr>
          <w:rFonts w:ascii="Times New Roman" w:hAnsi="Times New Roman" w:cs="Times New Roman"/>
          <w:sz w:val="24"/>
          <w:szCs w:val="24"/>
          <w:lang w:val="en-AU"/>
        </w:rPr>
        <w:lastRenderedPageBreak/>
        <w:t>lateral compartment pathology. (2) To</w:t>
      </w:r>
      <w:r w:rsidR="00617BB9">
        <w:rPr>
          <w:rFonts w:ascii="Times New Roman" w:hAnsi="Times New Roman" w:cs="Times New Roman"/>
          <w:sz w:val="24"/>
          <w:szCs w:val="24"/>
          <w:lang w:val="en-AU"/>
        </w:rPr>
        <w:t xml:space="preserve"> </w:t>
      </w:r>
      <w:r w:rsidR="002702CA" w:rsidRPr="002702CA">
        <w:rPr>
          <w:rFonts w:ascii="Times New Roman" w:hAnsi="Times New Roman" w:cs="Times New Roman"/>
          <w:sz w:val="24"/>
          <w:szCs w:val="24"/>
          <w:lang w:val="en-AU"/>
        </w:rPr>
        <w:t xml:space="preserve">summarize the reported results of medial closing wedge and lateral opening wedge DFO. </w:t>
      </w:r>
    </w:p>
    <w:p w14:paraId="56E7A3EB" w14:textId="77777777" w:rsidR="002149EF"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Methods: We conducted a</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systematic review of PubMed, MEDLINE, and CINAHL to identify studies reporting outcomes of DFOs for the valgus knee.</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Keywords included “distal femoral osteotomy,” “chondral,” “cartilage,” “valgus,” “joint restoration,” “joint preservation,”</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“arthritis,” and “gonarthrosis.” Two authors first reviewed the articles; our study exclusion criteria were then applied, and</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the articles were included on the basis relevance defined by the aforementioned criteria. The Methodological Index for</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Nonrandomized Studies scale judged the quality of the literature. Sixteen studies were relevant to the research questions</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out of 191 studies identified by the original search.</w:t>
      </w:r>
    </w:p>
    <w:p w14:paraId="1B8664BA" w14:textId="77777777" w:rsidR="00262E3C"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 xml:space="preserve"> Results: Sixteen studies were identified reporting on 372 osteotomies</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with mean follow-up of 45 to 180 months. All studies reported mean radiographic correction to a near neutral mechanical</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axis, with 3.2% non</w:t>
      </w:r>
      <w:r w:rsidR="002149EF">
        <w:rPr>
          <w:rFonts w:ascii="Times New Roman" w:hAnsi="Times New Roman" w:cs="Times New Roman"/>
          <w:sz w:val="24"/>
          <w:szCs w:val="24"/>
          <w:lang w:val="en-AU"/>
        </w:rPr>
        <w:t>-</w:t>
      </w:r>
      <w:r w:rsidRPr="002702CA">
        <w:rPr>
          <w:rFonts w:ascii="Times New Roman" w:hAnsi="Times New Roman" w:cs="Times New Roman"/>
          <w:sz w:val="24"/>
          <w:szCs w:val="24"/>
          <w:lang w:val="en-AU"/>
        </w:rPr>
        <w:t xml:space="preserve">union and 3.8% delayed union rates. </w:t>
      </w:r>
    </w:p>
    <w:p w14:paraId="6EE269EF" w14:textId="77777777" w:rsidR="00262E3C" w:rsidRDefault="00262E3C" w:rsidP="002702CA">
      <w:pPr>
        <w:jc w:val="both"/>
        <w:rPr>
          <w:rFonts w:ascii="Times New Roman" w:hAnsi="Times New Roman" w:cs="Times New Roman"/>
          <w:sz w:val="24"/>
          <w:szCs w:val="24"/>
          <w:lang w:val="en-AU"/>
        </w:rPr>
      </w:pPr>
    </w:p>
    <w:p w14:paraId="479AED91" w14:textId="0455CA2C" w:rsidR="00262E3C" w:rsidRDefault="00262E3C" w:rsidP="002702CA">
      <w:pPr>
        <w:jc w:val="both"/>
        <w:rPr>
          <w:rFonts w:ascii="Times New Roman" w:hAnsi="Times New Roman" w:cs="Times New Roman"/>
          <w:sz w:val="24"/>
          <w:szCs w:val="24"/>
          <w:lang w:val="en-AU"/>
        </w:rPr>
      </w:pPr>
      <w:r w:rsidRPr="00262E3C">
        <w:rPr>
          <w:rFonts w:ascii="Times New Roman" w:hAnsi="Times New Roman" w:cs="Times New Roman"/>
          <w:noProof/>
          <w:sz w:val="24"/>
          <w:szCs w:val="24"/>
          <w:lang w:val="en-AU"/>
        </w:rPr>
        <w:drawing>
          <wp:inline distT="0" distB="0" distL="0" distR="0" wp14:anchorId="6A39B3AD" wp14:editId="2E1B39A9">
            <wp:extent cx="6120130" cy="2473325"/>
            <wp:effectExtent l="0" t="0" r="0"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473325"/>
                    </a:xfrm>
                    <a:prstGeom prst="rect">
                      <a:avLst/>
                    </a:prstGeom>
                    <a:noFill/>
                    <a:ln>
                      <a:noFill/>
                    </a:ln>
                  </pic:spPr>
                </pic:pic>
              </a:graphicData>
            </a:graphic>
          </wp:inline>
        </w:drawing>
      </w:r>
    </w:p>
    <w:p w14:paraId="03348A6D" w14:textId="77777777" w:rsidR="00262E3C" w:rsidRDefault="00262E3C" w:rsidP="002702CA">
      <w:pPr>
        <w:jc w:val="both"/>
        <w:rPr>
          <w:rFonts w:ascii="Times New Roman" w:hAnsi="Times New Roman" w:cs="Times New Roman"/>
          <w:sz w:val="24"/>
          <w:szCs w:val="24"/>
          <w:lang w:val="en-AU"/>
        </w:rPr>
      </w:pPr>
    </w:p>
    <w:p w14:paraId="06AA19E0" w14:textId="77777777" w:rsidR="00262E3C" w:rsidRDefault="00262E3C" w:rsidP="002702CA">
      <w:pPr>
        <w:jc w:val="both"/>
        <w:rPr>
          <w:rFonts w:ascii="Times New Roman" w:hAnsi="Times New Roman" w:cs="Times New Roman"/>
          <w:sz w:val="24"/>
          <w:szCs w:val="24"/>
          <w:lang w:val="en-AU"/>
        </w:rPr>
      </w:pPr>
    </w:p>
    <w:p w14:paraId="29EEB7A3" w14:textId="050CBFF4" w:rsidR="00262E3C"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There was a 9% complication rate and a 34% reoperation rate,</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of which 15% were converted to arthroplasty. There were similar results reported for medial closing wedge and lateral</w:t>
      </w:r>
      <w:r w:rsidR="002149EF">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opening wedge techniques, with a higher conversion to arthroplasty in the medial closing wedge that was confounded by</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longer mean follow-up in this group (mean follow-up 100 v 58 months).</w:t>
      </w:r>
    </w:p>
    <w:p w14:paraId="3F1E52FC" w14:textId="2E12736C" w:rsidR="00262E3C" w:rsidRDefault="00262E3C" w:rsidP="009E12A3">
      <w:pPr>
        <w:jc w:val="center"/>
        <w:rPr>
          <w:rFonts w:ascii="Times New Roman" w:hAnsi="Times New Roman" w:cs="Times New Roman"/>
          <w:sz w:val="24"/>
          <w:szCs w:val="24"/>
          <w:lang w:val="en-AU"/>
        </w:rPr>
      </w:pPr>
      <w:r w:rsidRPr="00262E3C">
        <w:rPr>
          <w:rFonts w:ascii="Times New Roman" w:hAnsi="Times New Roman" w:cs="Times New Roman"/>
          <w:noProof/>
          <w:sz w:val="24"/>
          <w:szCs w:val="24"/>
          <w:lang w:val="en-AU"/>
        </w:rPr>
        <w:drawing>
          <wp:inline distT="0" distB="0" distL="0" distR="0" wp14:anchorId="744AF27F" wp14:editId="279B3741">
            <wp:extent cx="2637586" cy="1871636"/>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8198" cy="1879166"/>
                    </a:xfrm>
                    <a:prstGeom prst="rect">
                      <a:avLst/>
                    </a:prstGeom>
                    <a:noFill/>
                    <a:ln>
                      <a:noFill/>
                    </a:ln>
                  </pic:spPr>
                </pic:pic>
              </a:graphicData>
            </a:graphic>
          </wp:inline>
        </w:drawing>
      </w:r>
      <w:r w:rsidRPr="00262E3C">
        <w:rPr>
          <w:rFonts w:ascii="Times New Roman" w:hAnsi="Times New Roman" w:cs="Times New Roman"/>
          <w:noProof/>
          <w:sz w:val="24"/>
          <w:szCs w:val="24"/>
          <w:lang w:val="en-AU"/>
        </w:rPr>
        <w:drawing>
          <wp:inline distT="0" distB="0" distL="0" distR="0" wp14:anchorId="4E95FB29" wp14:editId="0CB573A0">
            <wp:extent cx="3161812" cy="1876158"/>
            <wp:effectExtent l="0" t="0" r="63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0836" cy="1887446"/>
                    </a:xfrm>
                    <a:prstGeom prst="rect">
                      <a:avLst/>
                    </a:prstGeom>
                    <a:noFill/>
                    <a:ln>
                      <a:noFill/>
                    </a:ln>
                  </pic:spPr>
                </pic:pic>
              </a:graphicData>
            </a:graphic>
          </wp:inline>
        </w:drawing>
      </w:r>
    </w:p>
    <w:p w14:paraId="1BB29A58" w14:textId="7A1F6588" w:rsidR="00262E3C" w:rsidRDefault="00262E3C" w:rsidP="002702CA">
      <w:pPr>
        <w:jc w:val="both"/>
        <w:rPr>
          <w:rFonts w:ascii="Times New Roman" w:hAnsi="Times New Roman" w:cs="Times New Roman"/>
          <w:sz w:val="24"/>
          <w:szCs w:val="24"/>
          <w:lang w:val="en-AU"/>
        </w:rPr>
      </w:pPr>
    </w:p>
    <w:p w14:paraId="5DFB1A51" w14:textId="77777777" w:rsidR="002149EF"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 xml:space="preserve"> Conclusions: DFOs for the valgus knee with</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lateral compartment disease provide improvements in patient-reported knee health</w:t>
      </w:r>
      <w:r w:rsidR="002149EF">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related quality of life at midterm</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follow-up but have high rates of reoperation. No evidence exists proving better results of either the lateral opening wedge</w:t>
      </w:r>
      <w:r w:rsidR="00617BB9">
        <w:rPr>
          <w:rFonts w:ascii="Times New Roman" w:hAnsi="Times New Roman" w:cs="Times New Roman"/>
          <w:sz w:val="24"/>
          <w:szCs w:val="24"/>
          <w:lang w:val="en-AU"/>
        </w:rPr>
        <w:t xml:space="preserve"> </w:t>
      </w:r>
      <w:r w:rsidRPr="002702CA">
        <w:rPr>
          <w:rFonts w:ascii="Times New Roman" w:hAnsi="Times New Roman" w:cs="Times New Roman"/>
          <w:sz w:val="24"/>
          <w:szCs w:val="24"/>
          <w:lang w:val="en-AU"/>
        </w:rPr>
        <w:t xml:space="preserve">or medial closing wedge techniques. </w:t>
      </w:r>
    </w:p>
    <w:p w14:paraId="2E63B296" w14:textId="567CF172" w:rsidR="002702CA" w:rsidRDefault="002702CA" w:rsidP="002702CA">
      <w:pPr>
        <w:jc w:val="both"/>
        <w:rPr>
          <w:rFonts w:ascii="Times New Roman" w:hAnsi="Times New Roman" w:cs="Times New Roman"/>
          <w:sz w:val="24"/>
          <w:szCs w:val="24"/>
          <w:lang w:val="en-AU"/>
        </w:rPr>
      </w:pPr>
      <w:r w:rsidRPr="002702CA">
        <w:rPr>
          <w:rFonts w:ascii="Times New Roman" w:hAnsi="Times New Roman" w:cs="Times New Roman"/>
          <w:sz w:val="24"/>
          <w:szCs w:val="24"/>
          <w:lang w:val="en-AU"/>
        </w:rPr>
        <w:t>Level of Evidence: Level IV, systematic review of Level IV studies</w:t>
      </w:r>
    </w:p>
    <w:p w14:paraId="1247888B" w14:textId="5D4E0613" w:rsidR="00227B67" w:rsidRDefault="00227B67" w:rsidP="002702CA">
      <w:pPr>
        <w:jc w:val="both"/>
        <w:rPr>
          <w:rFonts w:ascii="Times New Roman" w:hAnsi="Times New Roman" w:cs="Times New Roman"/>
          <w:sz w:val="24"/>
          <w:szCs w:val="24"/>
          <w:lang w:val="en-AU"/>
        </w:rPr>
      </w:pPr>
    </w:p>
    <w:p w14:paraId="154BEEFB" w14:textId="1D1BD220" w:rsidR="00227B67" w:rsidRDefault="00227B67" w:rsidP="002702CA">
      <w:pPr>
        <w:jc w:val="both"/>
        <w:rPr>
          <w:rFonts w:ascii="Times New Roman" w:hAnsi="Times New Roman" w:cs="Times New Roman"/>
          <w:sz w:val="24"/>
          <w:szCs w:val="24"/>
          <w:lang w:val="en-AU"/>
        </w:rPr>
      </w:pPr>
    </w:p>
    <w:p w14:paraId="4F58DF47" w14:textId="77777777" w:rsidR="00227B67" w:rsidRDefault="00227B67" w:rsidP="002702CA">
      <w:pPr>
        <w:jc w:val="both"/>
        <w:rPr>
          <w:rFonts w:ascii="Times New Roman" w:hAnsi="Times New Roman" w:cs="Times New Roman"/>
          <w:sz w:val="24"/>
          <w:szCs w:val="24"/>
          <w:lang w:val="en-AU"/>
        </w:rPr>
      </w:pPr>
    </w:p>
    <w:p w14:paraId="3F50166B" w14:textId="77777777" w:rsidR="002702CA" w:rsidRDefault="002702CA" w:rsidP="00604744">
      <w:pPr>
        <w:jc w:val="both"/>
        <w:rPr>
          <w:rFonts w:ascii="Times New Roman" w:hAnsi="Times New Roman" w:cs="Times New Roman"/>
          <w:sz w:val="24"/>
          <w:szCs w:val="24"/>
          <w:lang w:val="en-AU"/>
        </w:rPr>
      </w:pPr>
    </w:p>
    <w:p w14:paraId="19B62C49" w14:textId="6960CFFD" w:rsidR="00921611" w:rsidRPr="00227B67" w:rsidRDefault="00227B67" w:rsidP="00227B67">
      <w:pPr>
        <w:pStyle w:val="Paragrafoelenco"/>
        <w:numPr>
          <w:ilvl w:val="0"/>
          <w:numId w:val="7"/>
        </w:numPr>
        <w:jc w:val="both"/>
        <w:rPr>
          <w:rFonts w:ascii="Times New Roman" w:hAnsi="Times New Roman" w:cs="Times New Roman"/>
          <w:sz w:val="24"/>
          <w:szCs w:val="24"/>
        </w:rPr>
      </w:pPr>
      <w:r w:rsidRPr="00227B67">
        <w:rPr>
          <w:rFonts w:ascii="Times New Roman" w:hAnsi="Times New Roman" w:cs="Times New Roman"/>
          <w:sz w:val="24"/>
          <w:szCs w:val="24"/>
        </w:rPr>
        <w:t>Osteotomia vs</w:t>
      </w:r>
      <w:r w:rsidR="00921611" w:rsidRPr="00227B67">
        <w:rPr>
          <w:rFonts w:ascii="Times New Roman" w:hAnsi="Times New Roman" w:cs="Times New Roman"/>
          <w:sz w:val="24"/>
          <w:szCs w:val="24"/>
        </w:rPr>
        <w:t xml:space="preserve"> Uni knee</w:t>
      </w:r>
    </w:p>
    <w:p w14:paraId="1C26FE8F" w14:textId="1F7A95D7" w:rsidR="00597424" w:rsidRDefault="00227B67" w:rsidP="00597424">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 </w:t>
      </w:r>
    </w:p>
    <w:p w14:paraId="3CD313ED" w14:textId="176E75DD" w:rsidR="00227B67" w:rsidRDefault="00227B67" w:rsidP="00597424">
      <w:pPr>
        <w:jc w:val="both"/>
        <w:rPr>
          <w:rFonts w:ascii="Times New Roman" w:hAnsi="Times New Roman" w:cs="Times New Roman"/>
          <w:sz w:val="24"/>
          <w:szCs w:val="24"/>
          <w:lang w:val="en-AU"/>
        </w:rPr>
      </w:pPr>
      <w:r w:rsidRPr="00227B67">
        <w:rPr>
          <w:rFonts w:ascii="Times New Roman" w:hAnsi="Times New Roman" w:cs="Times New Roman"/>
          <w:sz w:val="24"/>
          <w:szCs w:val="24"/>
          <w:lang w:val="en-AU"/>
        </w:rPr>
        <w:t>Krych, Aaron J. MD1,a; Reardon, Patrick MD1,b; Sousa, Paul MD1,c; Pareek, Ayoosh BS1,d; Stuart, Michael MD1,e; Pagnano, Mark MD1,f Unicompartmental Knee Arthroplasty Provides Higher Activity and Durability Than Valgus-Producing Proximal Tibial Osteotomy at 5 to 7 Years, The Journal of Bone and Joint Surgery: January 18, 2017 - Volume 99 - Issue 2 - p 113-122 doi: 10.2106/JBJS.15.01031</w:t>
      </w:r>
    </w:p>
    <w:p w14:paraId="03AC5ED4" w14:textId="2DD8110C" w:rsidR="00227B67" w:rsidRDefault="00227B67" w:rsidP="00597424">
      <w:pPr>
        <w:jc w:val="both"/>
        <w:rPr>
          <w:rFonts w:ascii="Times New Roman" w:hAnsi="Times New Roman" w:cs="Times New Roman"/>
          <w:sz w:val="24"/>
          <w:szCs w:val="24"/>
          <w:lang w:val="en-AU"/>
        </w:rPr>
      </w:pPr>
    </w:p>
    <w:p w14:paraId="0CF6FCD7" w14:textId="73C7888C" w:rsidR="00DB4F51" w:rsidRPr="00227B67" w:rsidRDefault="00227B67" w:rsidP="00597424">
      <w:pPr>
        <w:jc w:val="both"/>
        <w:rPr>
          <w:rFonts w:ascii="Times New Roman" w:hAnsi="Times New Roman" w:cs="Times New Roman"/>
          <w:sz w:val="24"/>
          <w:szCs w:val="24"/>
        </w:rPr>
      </w:pPr>
      <w:r w:rsidRPr="00227B67">
        <w:rPr>
          <w:rFonts w:ascii="Times New Roman" w:hAnsi="Times New Roman" w:cs="Times New Roman"/>
          <w:sz w:val="24"/>
          <w:szCs w:val="24"/>
        </w:rPr>
        <w:t xml:space="preserve">In letteratura </w:t>
      </w:r>
      <w:r>
        <w:rPr>
          <w:rFonts w:ascii="Times New Roman" w:hAnsi="Times New Roman" w:cs="Times New Roman"/>
          <w:sz w:val="24"/>
          <w:szCs w:val="24"/>
        </w:rPr>
        <w:t>vi sono alcuni studi che confrontano, con livelli di bias differenti, le prestazioni delle osteotomie rispetto alle protesi monocompartimentali.</w:t>
      </w:r>
      <w:r w:rsidR="00DB4F51">
        <w:rPr>
          <w:rFonts w:ascii="Times New Roman" w:hAnsi="Times New Roman" w:cs="Times New Roman"/>
          <w:sz w:val="24"/>
          <w:szCs w:val="24"/>
        </w:rPr>
        <w:t xml:space="preserve"> </w:t>
      </w:r>
      <w:r>
        <w:rPr>
          <w:rFonts w:ascii="Times New Roman" w:hAnsi="Times New Roman" w:cs="Times New Roman"/>
          <w:sz w:val="24"/>
          <w:szCs w:val="24"/>
        </w:rPr>
        <w:t xml:space="preserve">In questo studio della Mayo Clinic, le protesi moncompartimentali (UKR) sembrano avere la meglio sulle ostoeotomie prossimali di tibia, sia in chiusura che in apertura. </w:t>
      </w:r>
      <w:r w:rsidR="00DB4F51">
        <w:rPr>
          <w:rFonts w:ascii="Times New Roman" w:hAnsi="Times New Roman" w:cs="Times New Roman"/>
          <w:sz w:val="24"/>
          <w:szCs w:val="24"/>
        </w:rPr>
        <w:t xml:space="preserve"> In questo scenario, l`osteotomista moderno deve armarsi di grande spirito critico. In </w:t>
      </w:r>
      <w:proofErr w:type="gramStart"/>
      <w:r w:rsidR="00DB4F51">
        <w:rPr>
          <w:rFonts w:ascii="Times New Roman" w:hAnsi="Times New Roman" w:cs="Times New Roman"/>
          <w:sz w:val="24"/>
          <w:szCs w:val="24"/>
        </w:rPr>
        <w:t>quei  pazienti</w:t>
      </w:r>
      <w:proofErr w:type="gramEnd"/>
      <w:r w:rsidR="00DB4F51">
        <w:rPr>
          <w:rFonts w:ascii="Times New Roman" w:hAnsi="Times New Roman" w:cs="Times New Roman"/>
          <w:sz w:val="24"/>
          <w:szCs w:val="24"/>
        </w:rPr>
        <w:t xml:space="preserve"> in cui entrambe le opzioni possono essere considerate dopo attenta valutazione delle indicazioni e delle radiografie, il gesto chirurgico intrarticolare deve essere sempre ben ponderato, preferendo quando possibile un trattamento extrarticolare. </w:t>
      </w:r>
    </w:p>
    <w:p w14:paraId="3BBDE09B" w14:textId="7E5E79FD" w:rsidR="00227B67" w:rsidRPr="00227B67" w:rsidRDefault="00227B67" w:rsidP="00597424">
      <w:pPr>
        <w:jc w:val="both"/>
        <w:rPr>
          <w:rFonts w:ascii="Times New Roman" w:hAnsi="Times New Roman" w:cs="Times New Roman"/>
          <w:sz w:val="24"/>
          <w:szCs w:val="24"/>
        </w:rPr>
      </w:pPr>
    </w:p>
    <w:p w14:paraId="097ADD65" w14:textId="77777777" w:rsidR="00227B67" w:rsidRPr="00227B67" w:rsidRDefault="00227B67" w:rsidP="00597424">
      <w:pPr>
        <w:jc w:val="both"/>
        <w:rPr>
          <w:rFonts w:ascii="Times New Roman" w:hAnsi="Times New Roman" w:cs="Times New Roman"/>
          <w:sz w:val="24"/>
          <w:szCs w:val="24"/>
        </w:rPr>
      </w:pPr>
    </w:p>
    <w:p w14:paraId="1F75247E" w14:textId="257863DB" w:rsidR="00227B67" w:rsidRPr="00227B67" w:rsidRDefault="00227B67" w:rsidP="00227B67">
      <w:pPr>
        <w:jc w:val="both"/>
        <w:rPr>
          <w:rFonts w:ascii="Times New Roman" w:hAnsi="Times New Roman" w:cs="Times New Roman"/>
          <w:sz w:val="24"/>
          <w:szCs w:val="24"/>
          <w:lang w:val="en-AU"/>
        </w:rPr>
      </w:pPr>
      <w:r w:rsidRPr="00227B67">
        <w:rPr>
          <w:rFonts w:ascii="Times New Roman" w:hAnsi="Times New Roman" w:cs="Times New Roman"/>
          <w:sz w:val="24"/>
          <w:szCs w:val="24"/>
          <w:lang w:val="en-AU"/>
        </w:rPr>
        <w:t>Background: The cases of patients with medial compartment osteoarthritis who were £55 years old and had a proximal</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tibial osteotomy (PTO) or medial unicompartmental knee arthroplasty (UKA) were compared. Outcomes included postoperative</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activity level, function, and survivorship free of revision to total knee arthroplasty.</w:t>
      </w:r>
    </w:p>
    <w:p w14:paraId="5627532D" w14:textId="5573EEF4" w:rsidR="00227B67" w:rsidRPr="00227B67" w:rsidRDefault="00227B67" w:rsidP="00227B67">
      <w:pPr>
        <w:jc w:val="both"/>
        <w:rPr>
          <w:rFonts w:ascii="Times New Roman" w:hAnsi="Times New Roman" w:cs="Times New Roman"/>
          <w:sz w:val="24"/>
          <w:szCs w:val="24"/>
          <w:lang w:val="en-AU"/>
        </w:rPr>
      </w:pPr>
      <w:r w:rsidRPr="00227B67">
        <w:rPr>
          <w:rFonts w:ascii="Times New Roman" w:hAnsi="Times New Roman" w:cs="Times New Roman"/>
          <w:sz w:val="24"/>
          <w:szCs w:val="24"/>
          <w:lang w:val="en-AU"/>
        </w:rPr>
        <w:t>Methods: Between 1998 and 2013, data were available for 240 patients between 18 and 55 years old with medial</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compartment arthritis and varus malalignment who were treated either with PTO (57 patients) or with UKA (183 patients).</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The mean age was 42.7 years for the 57 patients (41 men and 16 women) in the PTO group versus 49.2 years for the 183</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patients (82 men and 101 women) in the UKA group. The Tegner activity level and Lysholm knee scores were evaluated at</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3 months and at 1, 2, and 5 years postoperatively as well as at the time of the final follow-up. The end point for survival was</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 xml:space="preserve">defined as revision to total knee arthroplasty. A Wilcoxon rank-sum test was used to evaluate the </w:t>
      </w:r>
      <w:r w:rsidRPr="00227B67">
        <w:rPr>
          <w:rFonts w:ascii="Times New Roman" w:hAnsi="Times New Roman" w:cs="Times New Roman"/>
          <w:sz w:val="24"/>
          <w:szCs w:val="24"/>
          <w:lang w:val="en-AU"/>
        </w:rPr>
        <w:lastRenderedPageBreak/>
        <w:t>difference between the</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groups with respect to the Tegner and Lysholm scores at the respective follow-up intervals. Multivariate regression was</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used to assess potential confounders.</w:t>
      </w:r>
    </w:p>
    <w:p w14:paraId="2FD538E8" w14:textId="77777777" w:rsidR="00DB4F51" w:rsidRDefault="00227B67" w:rsidP="00227B67">
      <w:pPr>
        <w:jc w:val="both"/>
        <w:rPr>
          <w:rFonts w:ascii="Times New Roman" w:hAnsi="Times New Roman" w:cs="Times New Roman"/>
          <w:sz w:val="24"/>
          <w:szCs w:val="24"/>
          <w:lang w:val="en-AU"/>
        </w:rPr>
      </w:pPr>
      <w:r w:rsidRPr="00227B67">
        <w:rPr>
          <w:rFonts w:ascii="Times New Roman" w:hAnsi="Times New Roman" w:cs="Times New Roman"/>
          <w:sz w:val="24"/>
          <w:szCs w:val="24"/>
          <w:lang w:val="en-AU"/>
        </w:rPr>
        <w:t>Results: Preoperatively, the PTO and UKA groups had similar Tegner (3.0 ± 1.3 and 2.6 ± 0.09, respectively) and</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Lysholm scores (69.5 ± 7.3 and 71.6 ± 5.4). Postoperatively, the UKA group had significantly superior mean Tegner</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scores compared with the PTO group at 3 months (3.82 and 2.02, respectively), at 2 years (4.33 and 3.75), and at the</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time of the final follow-up (4.48 and 3.08), while the Lysholm scores were higher at 3 months (88.0 and 76.3) and at the</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final follow-up (90.0 and 80.2) (p &lt; 0.01 for all).</w:t>
      </w:r>
    </w:p>
    <w:p w14:paraId="4C370495" w14:textId="77777777" w:rsidR="00DB4F51" w:rsidRDefault="00DB4F51" w:rsidP="00227B67">
      <w:pPr>
        <w:jc w:val="both"/>
        <w:rPr>
          <w:rFonts w:ascii="Times New Roman" w:hAnsi="Times New Roman" w:cs="Times New Roman"/>
          <w:sz w:val="24"/>
          <w:szCs w:val="24"/>
          <w:lang w:val="en-AU"/>
        </w:rPr>
      </w:pPr>
    </w:p>
    <w:p w14:paraId="20B959AC" w14:textId="3D6EB87E" w:rsidR="00DB4F51" w:rsidRDefault="001B0C39" w:rsidP="001B0C39">
      <w:pPr>
        <w:jc w:val="center"/>
        <w:rPr>
          <w:rFonts w:ascii="Times New Roman" w:hAnsi="Times New Roman" w:cs="Times New Roman"/>
          <w:sz w:val="24"/>
          <w:szCs w:val="24"/>
          <w:lang w:val="en-AU"/>
        </w:rPr>
      </w:pPr>
      <w:r>
        <w:rPr>
          <w:rFonts w:ascii="Times New Roman" w:hAnsi="Times New Roman" w:cs="Times New Roman"/>
          <w:sz w:val="24"/>
          <w:szCs w:val="24"/>
          <w:lang w:val="en-AU"/>
        </w:rPr>
        <w:t>Fig.1</w:t>
      </w:r>
      <w:r w:rsidR="00DB4F51" w:rsidRPr="00DB4F51">
        <w:rPr>
          <w:rFonts w:ascii="Times New Roman" w:hAnsi="Times New Roman" w:cs="Times New Roman"/>
          <w:noProof/>
          <w:sz w:val="24"/>
          <w:szCs w:val="24"/>
          <w:lang w:val="en-AU"/>
        </w:rPr>
        <w:drawing>
          <wp:inline distT="0" distB="0" distL="0" distR="0" wp14:anchorId="4C0A66DE" wp14:editId="1469E479">
            <wp:extent cx="2219325" cy="158608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7717" cy="1599231"/>
                    </a:xfrm>
                    <a:prstGeom prst="rect">
                      <a:avLst/>
                    </a:prstGeom>
                    <a:noFill/>
                    <a:ln>
                      <a:noFill/>
                    </a:ln>
                  </pic:spPr>
                </pic:pic>
              </a:graphicData>
            </a:graphic>
          </wp:inline>
        </w:drawing>
      </w:r>
      <w:r>
        <w:rPr>
          <w:rFonts w:ascii="Times New Roman" w:hAnsi="Times New Roman" w:cs="Times New Roman"/>
          <w:sz w:val="24"/>
          <w:szCs w:val="24"/>
          <w:lang w:val="en-AU"/>
        </w:rPr>
        <w:t>Fig.2</w:t>
      </w:r>
      <w:r w:rsidRPr="001B0C39">
        <w:rPr>
          <w:rFonts w:ascii="Times New Roman" w:hAnsi="Times New Roman" w:cs="Times New Roman"/>
          <w:noProof/>
          <w:sz w:val="24"/>
          <w:szCs w:val="24"/>
          <w:lang w:val="en-AU"/>
        </w:rPr>
        <w:drawing>
          <wp:inline distT="0" distB="0" distL="0" distR="0" wp14:anchorId="4D31FA58" wp14:editId="1E6F5297">
            <wp:extent cx="2328545" cy="1666076"/>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7831" cy="1672720"/>
                    </a:xfrm>
                    <a:prstGeom prst="rect">
                      <a:avLst/>
                    </a:prstGeom>
                    <a:noFill/>
                    <a:ln>
                      <a:noFill/>
                    </a:ln>
                  </pic:spPr>
                </pic:pic>
              </a:graphicData>
            </a:graphic>
          </wp:inline>
        </w:drawing>
      </w:r>
    </w:p>
    <w:p w14:paraId="21A1D3E6" w14:textId="1B914F1C" w:rsidR="00DB4F51" w:rsidRDefault="001B0C39" w:rsidP="001B0C39">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 </w:t>
      </w:r>
      <w:proofErr w:type="gramStart"/>
      <w:r>
        <w:rPr>
          <w:rFonts w:ascii="Times New Roman" w:hAnsi="Times New Roman" w:cs="Times New Roman"/>
          <w:sz w:val="24"/>
          <w:szCs w:val="24"/>
          <w:lang w:val="en-AU"/>
        </w:rPr>
        <w:t>1 :</w:t>
      </w:r>
      <w:proofErr w:type="gramEnd"/>
      <w:r>
        <w:rPr>
          <w:rFonts w:ascii="Times New Roman" w:hAnsi="Times New Roman" w:cs="Times New Roman"/>
          <w:sz w:val="24"/>
          <w:szCs w:val="24"/>
          <w:lang w:val="en-AU"/>
        </w:rPr>
        <w:t xml:space="preserve"> </w:t>
      </w:r>
      <w:r w:rsidRPr="001B0C39">
        <w:rPr>
          <w:rFonts w:ascii="Times New Roman" w:hAnsi="Times New Roman" w:cs="Times New Roman"/>
          <w:sz w:val="24"/>
          <w:szCs w:val="24"/>
          <w:lang w:val="en-AU"/>
        </w:rPr>
        <w:t>The mean Tegner scores for the UKA and PTO groups were significantly different (asterisk) at 3 months, 2 years, and the final follow-up evaluation.</w:t>
      </w:r>
      <w:r>
        <w:rPr>
          <w:rFonts w:ascii="Times New Roman" w:hAnsi="Times New Roman" w:cs="Times New Roman"/>
          <w:sz w:val="24"/>
          <w:szCs w:val="24"/>
          <w:lang w:val="en-AU"/>
        </w:rPr>
        <w:t xml:space="preserve"> </w:t>
      </w:r>
      <w:r w:rsidRPr="001B0C39">
        <w:rPr>
          <w:rFonts w:ascii="Times New Roman" w:hAnsi="Times New Roman" w:cs="Times New Roman"/>
          <w:sz w:val="24"/>
          <w:szCs w:val="24"/>
          <w:lang w:val="en-AU"/>
        </w:rPr>
        <w:t>Error bars represent standard error.</w:t>
      </w:r>
    </w:p>
    <w:p w14:paraId="178F0BBD" w14:textId="789C2E53" w:rsidR="001B0C39" w:rsidRDefault="001B0C39" w:rsidP="001B0C39">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 </w:t>
      </w:r>
      <w:proofErr w:type="gramStart"/>
      <w:r>
        <w:rPr>
          <w:rFonts w:ascii="Times New Roman" w:hAnsi="Times New Roman" w:cs="Times New Roman"/>
          <w:sz w:val="24"/>
          <w:szCs w:val="24"/>
          <w:lang w:val="en-AU"/>
        </w:rPr>
        <w:t>2 :</w:t>
      </w:r>
      <w:proofErr w:type="gramEnd"/>
      <w:r>
        <w:rPr>
          <w:rFonts w:ascii="Times New Roman" w:hAnsi="Times New Roman" w:cs="Times New Roman"/>
          <w:sz w:val="24"/>
          <w:szCs w:val="24"/>
          <w:lang w:val="en-AU"/>
        </w:rPr>
        <w:t xml:space="preserve"> </w:t>
      </w:r>
      <w:r w:rsidRPr="001B0C39">
        <w:rPr>
          <w:rFonts w:ascii="Times New Roman" w:hAnsi="Times New Roman" w:cs="Times New Roman"/>
          <w:sz w:val="24"/>
          <w:szCs w:val="24"/>
          <w:lang w:val="en-AU"/>
        </w:rPr>
        <w:t>The mean Lysholm scores for the UKA and PTO groups were significantly different (asterisk) at 3 months and at the time of the final follow-up. Error bars</w:t>
      </w:r>
      <w:r>
        <w:rPr>
          <w:rFonts w:ascii="Times New Roman" w:hAnsi="Times New Roman" w:cs="Times New Roman"/>
          <w:sz w:val="24"/>
          <w:szCs w:val="24"/>
          <w:lang w:val="en-AU"/>
        </w:rPr>
        <w:t xml:space="preserve"> </w:t>
      </w:r>
      <w:r w:rsidRPr="001B0C39">
        <w:rPr>
          <w:rFonts w:ascii="Times New Roman" w:hAnsi="Times New Roman" w:cs="Times New Roman"/>
          <w:sz w:val="24"/>
          <w:szCs w:val="24"/>
          <w:lang w:val="en-AU"/>
        </w:rPr>
        <w:t>represent standard error.</w:t>
      </w:r>
    </w:p>
    <w:p w14:paraId="4A5F9A75" w14:textId="77777777" w:rsidR="00DB4F51" w:rsidRDefault="00DB4F51" w:rsidP="00227B67">
      <w:pPr>
        <w:jc w:val="both"/>
        <w:rPr>
          <w:rFonts w:ascii="Times New Roman" w:hAnsi="Times New Roman" w:cs="Times New Roman"/>
          <w:sz w:val="24"/>
          <w:szCs w:val="24"/>
          <w:lang w:val="en-AU"/>
        </w:rPr>
      </w:pPr>
    </w:p>
    <w:p w14:paraId="5A6583A0" w14:textId="77777777" w:rsidR="00DB4F51" w:rsidRDefault="00DB4F51" w:rsidP="00227B67">
      <w:pPr>
        <w:jc w:val="both"/>
        <w:rPr>
          <w:rFonts w:ascii="Times New Roman" w:hAnsi="Times New Roman" w:cs="Times New Roman"/>
          <w:sz w:val="24"/>
          <w:szCs w:val="24"/>
          <w:lang w:val="en-AU"/>
        </w:rPr>
      </w:pPr>
    </w:p>
    <w:p w14:paraId="0EB20059" w14:textId="3094ADC7" w:rsidR="00227B67" w:rsidRDefault="00227B67" w:rsidP="00227B67">
      <w:pPr>
        <w:jc w:val="both"/>
        <w:rPr>
          <w:rFonts w:ascii="Times New Roman" w:hAnsi="Times New Roman" w:cs="Times New Roman"/>
          <w:sz w:val="24"/>
          <w:szCs w:val="24"/>
          <w:lang w:val="en-AU"/>
        </w:rPr>
      </w:pPr>
      <w:r w:rsidRPr="00227B67">
        <w:rPr>
          <w:rFonts w:ascii="Times New Roman" w:hAnsi="Times New Roman" w:cs="Times New Roman"/>
          <w:sz w:val="24"/>
          <w:szCs w:val="24"/>
          <w:lang w:val="en-AU"/>
        </w:rPr>
        <w:t xml:space="preserve"> Multivariate analysis showed UKA to be an independent predictor of</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activity level at 3 months, 1 year, and 2 years, as well as at the final follow-up. The survivorship was 77% in the PTO group</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at an average of 7.2 years and 94% in the UKA group at an average of 5.8 years (p &lt; 0.01). The average time to failure</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was 98 months (range, 38 to 169 months) in the PTO group and 42 months (range, 2 to 123 months) in the UKA group</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(p &lt; 0.01).</w:t>
      </w:r>
    </w:p>
    <w:p w14:paraId="52DB8581" w14:textId="4A9D9A60" w:rsidR="001B0C39" w:rsidRDefault="001B0C39" w:rsidP="00227B67">
      <w:pPr>
        <w:jc w:val="both"/>
        <w:rPr>
          <w:rFonts w:ascii="Times New Roman" w:hAnsi="Times New Roman" w:cs="Times New Roman"/>
          <w:sz w:val="24"/>
          <w:szCs w:val="24"/>
          <w:lang w:val="en-AU"/>
        </w:rPr>
      </w:pPr>
    </w:p>
    <w:p w14:paraId="1B384006" w14:textId="0D3B0F9E" w:rsidR="001B0C39" w:rsidRDefault="001B0C39" w:rsidP="001B0C39">
      <w:pPr>
        <w:jc w:val="center"/>
        <w:rPr>
          <w:rFonts w:ascii="Times New Roman" w:hAnsi="Times New Roman" w:cs="Times New Roman"/>
          <w:sz w:val="24"/>
          <w:szCs w:val="24"/>
          <w:lang w:val="en-AU"/>
        </w:rPr>
      </w:pPr>
      <w:r>
        <w:rPr>
          <w:rFonts w:ascii="Times New Roman" w:hAnsi="Times New Roman" w:cs="Times New Roman"/>
          <w:sz w:val="24"/>
          <w:szCs w:val="24"/>
          <w:lang w:val="en-AU"/>
        </w:rPr>
        <w:lastRenderedPageBreak/>
        <w:t xml:space="preserve">Fig.3 </w:t>
      </w:r>
      <w:r w:rsidRPr="001B0C39">
        <w:rPr>
          <w:rFonts w:ascii="Times New Roman" w:hAnsi="Times New Roman" w:cs="Times New Roman"/>
          <w:noProof/>
          <w:sz w:val="24"/>
          <w:szCs w:val="24"/>
          <w:lang w:val="en-AU"/>
        </w:rPr>
        <w:drawing>
          <wp:inline distT="0" distB="0" distL="0" distR="0" wp14:anchorId="49806957" wp14:editId="418CC552">
            <wp:extent cx="3531547" cy="270637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0074" cy="2712904"/>
                    </a:xfrm>
                    <a:prstGeom prst="rect">
                      <a:avLst/>
                    </a:prstGeom>
                    <a:noFill/>
                    <a:ln>
                      <a:noFill/>
                    </a:ln>
                  </pic:spPr>
                </pic:pic>
              </a:graphicData>
            </a:graphic>
          </wp:inline>
        </w:drawing>
      </w:r>
    </w:p>
    <w:p w14:paraId="3F79FA87" w14:textId="3FF51060" w:rsidR="001B0C39" w:rsidRDefault="001B0C39" w:rsidP="00227B67">
      <w:pPr>
        <w:jc w:val="both"/>
        <w:rPr>
          <w:rFonts w:ascii="Times New Roman" w:hAnsi="Times New Roman" w:cs="Times New Roman"/>
          <w:sz w:val="24"/>
          <w:szCs w:val="24"/>
          <w:lang w:val="en-AU"/>
        </w:rPr>
      </w:pPr>
    </w:p>
    <w:p w14:paraId="3781FB08" w14:textId="351124A8" w:rsidR="001B0C39" w:rsidRPr="00227B67" w:rsidRDefault="001B0C39" w:rsidP="001B0C39">
      <w:pPr>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 </w:t>
      </w:r>
      <w:proofErr w:type="gramStart"/>
      <w:r>
        <w:rPr>
          <w:rFonts w:ascii="Times New Roman" w:hAnsi="Times New Roman" w:cs="Times New Roman"/>
          <w:sz w:val="24"/>
          <w:szCs w:val="24"/>
          <w:lang w:val="en-AU"/>
        </w:rPr>
        <w:t>3 :</w:t>
      </w:r>
      <w:proofErr w:type="gramEnd"/>
      <w:r>
        <w:rPr>
          <w:rFonts w:ascii="Times New Roman" w:hAnsi="Times New Roman" w:cs="Times New Roman"/>
          <w:sz w:val="24"/>
          <w:szCs w:val="24"/>
          <w:lang w:val="en-AU"/>
        </w:rPr>
        <w:t xml:space="preserve"> </w:t>
      </w:r>
      <w:r w:rsidRPr="001B0C39">
        <w:rPr>
          <w:rFonts w:ascii="Times New Roman" w:hAnsi="Times New Roman" w:cs="Times New Roman"/>
          <w:sz w:val="24"/>
          <w:szCs w:val="24"/>
          <w:lang w:val="en-AU"/>
        </w:rPr>
        <w:t>Kaplan-Meier survivorship curves for the PTO and UKA groups, with revision to total knee arthroplasty as the end point. Time is displayed as months</w:t>
      </w:r>
      <w:r>
        <w:rPr>
          <w:rFonts w:ascii="Times New Roman" w:hAnsi="Times New Roman" w:cs="Times New Roman"/>
          <w:sz w:val="24"/>
          <w:szCs w:val="24"/>
          <w:lang w:val="en-AU"/>
        </w:rPr>
        <w:t xml:space="preserve"> </w:t>
      </w:r>
      <w:r w:rsidRPr="001B0C39">
        <w:rPr>
          <w:rFonts w:ascii="Times New Roman" w:hAnsi="Times New Roman" w:cs="Times New Roman"/>
          <w:sz w:val="24"/>
          <w:szCs w:val="24"/>
          <w:lang w:val="en-AU"/>
        </w:rPr>
        <w:t>after surgery.</w:t>
      </w:r>
    </w:p>
    <w:p w14:paraId="52D8F769" w14:textId="1361B987" w:rsidR="00227B67" w:rsidRPr="00227B67" w:rsidRDefault="00227B67" w:rsidP="00227B67">
      <w:pPr>
        <w:jc w:val="both"/>
        <w:rPr>
          <w:rFonts w:ascii="Times New Roman" w:hAnsi="Times New Roman" w:cs="Times New Roman"/>
          <w:sz w:val="24"/>
          <w:szCs w:val="24"/>
          <w:lang w:val="en-AU"/>
        </w:rPr>
      </w:pPr>
      <w:r w:rsidRPr="00227B67">
        <w:rPr>
          <w:rFonts w:ascii="Times New Roman" w:hAnsi="Times New Roman" w:cs="Times New Roman"/>
          <w:sz w:val="24"/>
          <w:szCs w:val="24"/>
          <w:lang w:val="en-AU"/>
        </w:rPr>
        <w:t>Conclusions: In this comparative cohort study of young patients with isolated unicompartmental arthritis, those treated</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with UKA reached a higher level of activity early after surgery and it persisted at mid-term follow-up. The UKA group had</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earlier, but less frequent, revision to total knee arthroplasty.</w:t>
      </w:r>
    </w:p>
    <w:p w14:paraId="5A011760" w14:textId="3C1C899D" w:rsidR="00227B67" w:rsidRDefault="00227B67" w:rsidP="00227B67">
      <w:pPr>
        <w:jc w:val="both"/>
        <w:rPr>
          <w:rFonts w:ascii="Times New Roman" w:hAnsi="Times New Roman" w:cs="Times New Roman"/>
          <w:sz w:val="24"/>
          <w:szCs w:val="24"/>
          <w:lang w:val="en-AU"/>
        </w:rPr>
      </w:pPr>
      <w:r w:rsidRPr="00227B67">
        <w:rPr>
          <w:rFonts w:ascii="Times New Roman" w:hAnsi="Times New Roman" w:cs="Times New Roman"/>
          <w:sz w:val="24"/>
          <w:szCs w:val="24"/>
          <w:lang w:val="en-AU"/>
        </w:rPr>
        <w:t>Level of Evidence: Therapeutic Level III. See Instructions for Authors for a complete description of levels of</w:t>
      </w:r>
      <w:r>
        <w:rPr>
          <w:rFonts w:ascii="Times New Roman" w:hAnsi="Times New Roman" w:cs="Times New Roman"/>
          <w:sz w:val="24"/>
          <w:szCs w:val="24"/>
          <w:lang w:val="en-AU"/>
        </w:rPr>
        <w:t xml:space="preserve"> </w:t>
      </w:r>
      <w:r w:rsidRPr="00227B67">
        <w:rPr>
          <w:rFonts w:ascii="Times New Roman" w:hAnsi="Times New Roman" w:cs="Times New Roman"/>
          <w:sz w:val="24"/>
          <w:szCs w:val="24"/>
          <w:lang w:val="en-AU"/>
        </w:rPr>
        <w:t>evidence.</w:t>
      </w:r>
    </w:p>
    <w:p w14:paraId="6C492788" w14:textId="4D7E79F3" w:rsidR="00597424" w:rsidRDefault="00597424" w:rsidP="00597424">
      <w:pPr>
        <w:jc w:val="both"/>
        <w:rPr>
          <w:rFonts w:ascii="Times New Roman" w:hAnsi="Times New Roman" w:cs="Times New Roman"/>
          <w:sz w:val="24"/>
          <w:szCs w:val="24"/>
          <w:lang w:val="en-AU"/>
        </w:rPr>
      </w:pPr>
    </w:p>
    <w:p w14:paraId="22207D06" w14:textId="5BAA946A" w:rsidR="00BB69EC" w:rsidRDefault="001B0C39" w:rsidP="00227B67">
      <w:pPr>
        <w:pStyle w:val="Paragrafoelenco"/>
        <w:numPr>
          <w:ilvl w:val="0"/>
          <w:numId w:val="7"/>
        </w:numPr>
        <w:jc w:val="both"/>
        <w:rPr>
          <w:rFonts w:ascii="Times New Roman" w:hAnsi="Times New Roman" w:cs="Times New Roman"/>
          <w:sz w:val="24"/>
          <w:szCs w:val="24"/>
        </w:rPr>
      </w:pPr>
      <w:r w:rsidRPr="00E4108C">
        <w:rPr>
          <w:rFonts w:ascii="Times New Roman" w:hAnsi="Times New Roman" w:cs="Times New Roman"/>
          <w:sz w:val="24"/>
          <w:szCs w:val="24"/>
          <w:lang w:val="en-US"/>
        </w:rPr>
        <w:t xml:space="preserve"> </w:t>
      </w:r>
      <w:r w:rsidR="00227B67" w:rsidRPr="00227B67">
        <w:rPr>
          <w:rFonts w:ascii="Times New Roman" w:hAnsi="Times New Roman" w:cs="Times New Roman"/>
          <w:sz w:val="24"/>
          <w:szCs w:val="24"/>
        </w:rPr>
        <w:t xml:space="preserve">Conversione </w:t>
      </w:r>
      <w:r w:rsidR="004F672C">
        <w:rPr>
          <w:rFonts w:ascii="Times New Roman" w:hAnsi="Times New Roman" w:cs="Times New Roman"/>
          <w:sz w:val="24"/>
          <w:szCs w:val="24"/>
        </w:rPr>
        <w:t>in TKA</w:t>
      </w:r>
    </w:p>
    <w:p w14:paraId="3A0C9D58" w14:textId="29EF5CB7" w:rsidR="004F672C" w:rsidRDefault="004F672C" w:rsidP="004F672C">
      <w:pPr>
        <w:jc w:val="both"/>
        <w:rPr>
          <w:rFonts w:ascii="Times New Roman" w:hAnsi="Times New Roman" w:cs="Times New Roman"/>
          <w:sz w:val="24"/>
          <w:szCs w:val="24"/>
        </w:rPr>
      </w:pPr>
    </w:p>
    <w:p w14:paraId="5EC494F2" w14:textId="3D021AF9" w:rsidR="004F672C" w:rsidRDefault="004F672C" w:rsidP="004F672C">
      <w:pPr>
        <w:jc w:val="both"/>
        <w:rPr>
          <w:rFonts w:ascii="Times New Roman" w:hAnsi="Times New Roman" w:cs="Times New Roman"/>
          <w:sz w:val="24"/>
          <w:szCs w:val="24"/>
          <w:lang w:val="en-AU"/>
        </w:rPr>
      </w:pPr>
      <w:r w:rsidRPr="004F672C">
        <w:rPr>
          <w:rFonts w:ascii="Times New Roman" w:hAnsi="Times New Roman" w:cs="Times New Roman"/>
          <w:sz w:val="24"/>
          <w:szCs w:val="24"/>
          <w:lang w:val="en-AU"/>
        </w:rPr>
        <w:t xml:space="preserve">El-Galaly A, Nielsen PT, Jensen SL, Kappel A. Prior High Tibial Osteotomy Does Not Affect the Survival of Total Knee Arthroplasties: Results </w:t>
      </w:r>
      <w:r w:rsidR="002648E0" w:rsidRPr="004F672C">
        <w:rPr>
          <w:rFonts w:ascii="Times New Roman" w:hAnsi="Times New Roman" w:cs="Times New Roman"/>
          <w:sz w:val="24"/>
          <w:szCs w:val="24"/>
          <w:lang w:val="en-AU"/>
        </w:rPr>
        <w:t>from</w:t>
      </w:r>
      <w:r w:rsidRPr="004F672C">
        <w:rPr>
          <w:rFonts w:ascii="Times New Roman" w:hAnsi="Times New Roman" w:cs="Times New Roman"/>
          <w:sz w:val="24"/>
          <w:szCs w:val="24"/>
          <w:lang w:val="en-AU"/>
        </w:rPr>
        <w:t xml:space="preserve"> the Danish Knee Arthroplasty Registry. J Arthroplasty. 2018 Jul;33(7):2131-2135.e1. doi: 10.1016/j.arth.2018.02.076. Epub 2018 Feb 28. PMID: 29573914.</w:t>
      </w:r>
    </w:p>
    <w:p w14:paraId="7E1B6FB3" w14:textId="69D939A6" w:rsidR="004F672C" w:rsidRDefault="004F672C" w:rsidP="004F672C">
      <w:pPr>
        <w:jc w:val="both"/>
        <w:rPr>
          <w:rFonts w:ascii="Times New Roman" w:hAnsi="Times New Roman" w:cs="Times New Roman"/>
          <w:sz w:val="24"/>
          <w:szCs w:val="24"/>
          <w:lang w:val="en-AU"/>
        </w:rPr>
      </w:pPr>
    </w:p>
    <w:p w14:paraId="55EA1909" w14:textId="207E6AAF" w:rsidR="004314A8" w:rsidRPr="004314A8" w:rsidRDefault="004314A8" w:rsidP="004F672C">
      <w:pPr>
        <w:jc w:val="both"/>
        <w:rPr>
          <w:rFonts w:ascii="Times New Roman" w:hAnsi="Times New Roman" w:cs="Times New Roman"/>
          <w:sz w:val="24"/>
          <w:szCs w:val="24"/>
        </w:rPr>
      </w:pPr>
      <w:r w:rsidRPr="004314A8">
        <w:rPr>
          <w:rFonts w:ascii="Times New Roman" w:hAnsi="Times New Roman" w:cs="Times New Roman"/>
          <w:sz w:val="24"/>
          <w:szCs w:val="24"/>
        </w:rPr>
        <w:t>Il trattamento d</w:t>
      </w:r>
      <w:r>
        <w:rPr>
          <w:rFonts w:ascii="Times New Roman" w:hAnsi="Times New Roman" w:cs="Times New Roman"/>
          <w:sz w:val="24"/>
          <w:szCs w:val="24"/>
        </w:rPr>
        <w:t>ella progressione della patologia dopo osteotomia correttiva e ‘la protesi totale di ginocchio (TKR). La conversione in TKR dimostra risultati molto buoni simili alle protesi totali di primo impianto. Persiste un rischio aumentato di complicanze quali revisione, infezione e tempi chirurgici aumentati.</w:t>
      </w:r>
    </w:p>
    <w:p w14:paraId="46A7F783" w14:textId="05508CBF" w:rsidR="004F672C" w:rsidRPr="004F672C" w:rsidRDefault="004F672C" w:rsidP="004F672C">
      <w:pPr>
        <w:jc w:val="both"/>
        <w:rPr>
          <w:rFonts w:ascii="Times New Roman" w:hAnsi="Times New Roman" w:cs="Times New Roman"/>
          <w:sz w:val="24"/>
          <w:szCs w:val="24"/>
          <w:lang w:val="en-AU"/>
        </w:rPr>
      </w:pPr>
      <w:r w:rsidRPr="004F672C">
        <w:rPr>
          <w:rFonts w:ascii="Times New Roman" w:hAnsi="Times New Roman" w:cs="Times New Roman"/>
          <w:sz w:val="24"/>
          <w:szCs w:val="24"/>
          <w:lang w:val="en-AU"/>
        </w:rPr>
        <w:t>Background: High tibial osteotomy (HTO) is a joint preserving treatment of unicompartmental osteoarthritis</w:t>
      </w:r>
      <w:r>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in the knee. In cases with insufficient or deteriorating clinical results patients may undergo a total</w:t>
      </w:r>
      <w:r>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knee arthroplasty (TKA). The influence of prior HTO on TKA survival is debated.</w:t>
      </w:r>
    </w:p>
    <w:p w14:paraId="6C952D1F" w14:textId="6173EDFD" w:rsidR="004F672C" w:rsidRPr="004F672C" w:rsidRDefault="004F672C" w:rsidP="004F672C">
      <w:pPr>
        <w:jc w:val="both"/>
        <w:rPr>
          <w:rFonts w:ascii="Times New Roman" w:hAnsi="Times New Roman" w:cs="Times New Roman"/>
          <w:sz w:val="24"/>
          <w:szCs w:val="24"/>
          <w:lang w:val="en-AU"/>
        </w:rPr>
      </w:pPr>
      <w:r w:rsidRPr="004F672C">
        <w:rPr>
          <w:rFonts w:ascii="Times New Roman" w:hAnsi="Times New Roman" w:cs="Times New Roman"/>
          <w:sz w:val="24"/>
          <w:szCs w:val="24"/>
          <w:lang w:val="en-AU"/>
        </w:rPr>
        <w:t>Methods: We conducted a population-based registry study comparing 1044 primary TKAs in patients</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with prior HTO to 63,763 de novo TKAs inserted from 1997 to 2015. Implant survival was estimated by</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Kaplan-Meier analysis with revision of any kind as endpoint. Patient and surgery characteristics,</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lastRenderedPageBreak/>
        <w:t>including choice of implant design, were compared and their influence on TKA survival was estimated by</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Cox regression. Finally, indications of revision were compared between the groups.</w:t>
      </w:r>
    </w:p>
    <w:p w14:paraId="6043F649" w14:textId="2CCF7EC9" w:rsidR="004F672C" w:rsidRDefault="004F672C" w:rsidP="004F672C">
      <w:pPr>
        <w:jc w:val="both"/>
        <w:rPr>
          <w:rFonts w:ascii="Times New Roman" w:hAnsi="Times New Roman" w:cs="Times New Roman"/>
          <w:sz w:val="24"/>
          <w:szCs w:val="24"/>
          <w:lang w:val="en-AU"/>
        </w:rPr>
      </w:pPr>
      <w:r w:rsidRPr="004F672C">
        <w:rPr>
          <w:rFonts w:ascii="Times New Roman" w:hAnsi="Times New Roman" w:cs="Times New Roman"/>
          <w:sz w:val="24"/>
          <w:szCs w:val="24"/>
          <w:lang w:val="en-AU"/>
        </w:rPr>
        <w:t>Results: TKA following HTO had an inferior survival with a 10-year estimated survival of 91% compared to</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94% for de novo</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TKA, corresponding to a crude hazard ratio (HR) of 1.73 (P &lt; .001). However, after adjustment</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for differences in gender and age this risk diminished (HR 1.19, P ¼.09). The choice of implant constraint</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was</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similar between the groups and in both groups posterior stabilized TKA</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was associated with inferior survival</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with an adjusted HR of 1.46 (P ¼.03) in post-HTO TKA when compared to cruciate-retaining TKA.</w:t>
      </w:r>
    </w:p>
    <w:p w14:paraId="2F3FBC3D" w14:textId="3B25341F" w:rsidR="004314A8" w:rsidRDefault="004314A8" w:rsidP="004F672C">
      <w:pPr>
        <w:jc w:val="both"/>
        <w:rPr>
          <w:rFonts w:ascii="Times New Roman" w:hAnsi="Times New Roman" w:cs="Times New Roman"/>
          <w:sz w:val="24"/>
          <w:szCs w:val="24"/>
          <w:lang w:val="en-AU"/>
        </w:rPr>
      </w:pPr>
    </w:p>
    <w:p w14:paraId="1D4D5970" w14:textId="6D187811" w:rsidR="004314A8" w:rsidRDefault="004314A8" w:rsidP="004314A8">
      <w:pPr>
        <w:rPr>
          <w:rFonts w:ascii="Times New Roman" w:hAnsi="Times New Roman" w:cs="Times New Roman"/>
          <w:sz w:val="24"/>
          <w:szCs w:val="24"/>
          <w:lang w:val="en-AU"/>
        </w:rPr>
      </w:pPr>
      <w:r>
        <w:rPr>
          <w:rFonts w:ascii="Times New Roman" w:hAnsi="Times New Roman" w:cs="Times New Roman"/>
          <w:sz w:val="24"/>
          <w:szCs w:val="24"/>
          <w:lang w:val="en-AU"/>
        </w:rPr>
        <w:t>Fig.</w:t>
      </w:r>
      <w:r w:rsidR="004031A7">
        <w:rPr>
          <w:rFonts w:ascii="Times New Roman" w:hAnsi="Times New Roman" w:cs="Times New Roman"/>
          <w:sz w:val="24"/>
          <w:szCs w:val="24"/>
          <w:lang w:val="en-AU"/>
        </w:rPr>
        <w:t>1,2</w:t>
      </w:r>
      <w:r>
        <w:rPr>
          <w:rFonts w:ascii="Times New Roman" w:hAnsi="Times New Roman" w:cs="Times New Roman"/>
          <w:sz w:val="24"/>
          <w:szCs w:val="24"/>
          <w:lang w:val="en-AU"/>
        </w:rPr>
        <w:t xml:space="preserve"> </w:t>
      </w:r>
      <w:r w:rsidRPr="004314A8">
        <w:rPr>
          <w:rFonts w:ascii="Times New Roman" w:hAnsi="Times New Roman" w:cs="Times New Roman"/>
          <w:noProof/>
          <w:sz w:val="24"/>
          <w:szCs w:val="24"/>
          <w:lang w:val="en-AU"/>
        </w:rPr>
        <w:drawing>
          <wp:inline distT="0" distB="0" distL="0" distR="0" wp14:anchorId="7A8E3BDA" wp14:editId="04385CA3">
            <wp:extent cx="2505075" cy="1750798"/>
            <wp:effectExtent l="0" t="0" r="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5643" cy="1765173"/>
                    </a:xfrm>
                    <a:prstGeom prst="rect">
                      <a:avLst/>
                    </a:prstGeom>
                    <a:noFill/>
                    <a:ln>
                      <a:noFill/>
                    </a:ln>
                  </pic:spPr>
                </pic:pic>
              </a:graphicData>
            </a:graphic>
          </wp:inline>
        </w:drawing>
      </w:r>
      <w:r w:rsidR="004031A7" w:rsidRPr="004031A7">
        <w:rPr>
          <w:rFonts w:ascii="Times New Roman" w:hAnsi="Times New Roman" w:cs="Times New Roman"/>
          <w:noProof/>
          <w:sz w:val="24"/>
          <w:szCs w:val="24"/>
          <w:lang w:val="en-AU"/>
        </w:rPr>
        <w:drawing>
          <wp:inline distT="0" distB="0" distL="0" distR="0" wp14:anchorId="3B0D7AFC" wp14:editId="46D8E19A">
            <wp:extent cx="3114032" cy="33051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5519" cy="3306754"/>
                    </a:xfrm>
                    <a:prstGeom prst="rect">
                      <a:avLst/>
                    </a:prstGeom>
                    <a:noFill/>
                    <a:ln>
                      <a:noFill/>
                    </a:ln>
                  </pic:spPr>
                </pic:pic>
              </a:graphicData>
            </a:graphic>
          </wp:inline>
        </w:drawing>
      </w:r>
    </w:p>
    <w:p w14:paraId="5AAC3264" w14:textId="16BA3E43" w:rsidR="004314A8" w:rsidRDefault="004031A7" w:rsidP="004031A7">
      <w:pPr>
        <w:jc w:val="both"/>
        <w:rPr>
          <w:rFonts w:ascii="Times New Roman" w:hAnsi="Times New Roman" w:cs="Times New Roman"/>
          <w:sz w:val="24"/>
          <w:szCs w:val="24"/>
          <w:lang w:val="en-AU"/>
        </w:rPr>
      </w:pPr>
      <w:r>
        <w:rPr>
          <w:rFonts w:ascii="Times New Roman" w:hAnsi="Times New Roman" w:cs="Times New Roman"/>
          <w:sz w:val="24"/>
          <w:szCs w:val="24"/>
          <w:lang w:val="en-AU"/>
        </w:rPr>
        <w:t>Fig.1, 2</w:t>
      </w:r>
      <w:r w:rsidRPr="004031A7">
        <w:rPr>
          <w:rFonts w:ascii="Times New Roman" w:hAnsi="Times New Roman" w:cs="Times New Roman"/>
          <w:sz w:val="24"/>
          <w:szCs w:val="24"/>
          <w:lang w:val="en-AU"/>
        </w:rPr>
        <w:t xml:space="preserve">Kaplan-Meier survival </w:t>
      </w:r>
      <w:proofErr w:type="gramStart"/>
      <w:r w:rsidRPr="004031A7">
        <w:rPr>
          <w:rFonts w:ascii="Times New Roman" w:hAnsi="Times New Roman" w:cs="Times New Roman"/>
          <w:sz w:val="24"/>
          <w:szCs w:val="24"/>
          <w:lang w:val="en-AU"/>
        </w:rPr>
        <w:t>estimate</w:t>
      </w:r>
      <w:proofErr w:type="gramEnd"/>
      <w:r w:rsidRPr="004031A7">
        <w:rPr>
          <w:rFonts w:ascii="Times New Roman" w:hAnsi="Times New Roman" w:cs="Times New Roman"/>
          <w:sz w:val="24"/>
          <w:szCs w:val="24"/>
          <w:lang w:val="en-AU"/>
        </w:rPr>
        <w:t xml:space="preserve"> for post-HTO TKA when compared to de novo</w:t>
      </w:r>
      <w:r>
        <w:rPr>
          <w:rFonts w:ascii="Times New Roman" w:hAnsi="Times New Roman" w:cs="Times New Roman"/>
          <w:sz w:val="24"/>
          <w:szCs w:val="24"/>
          <w:lang w:val="en-AU"/>
        </w:rPr>
        <w:t xml:space="preserve"> </w:t>
      </w:r>
      <w:r w:rsidRPr="004031A7">
        <w:rPr>
          <w:rFonts w:ascii="Times New Roman" w:hAnsi="Times New Roman" w:cs="Times New Roman"/>
          <w:sz w:val="24"/>
          <w:szCs w:val="24"/>
          <w:lang w:val="en-AU"/>
        </w:rPr>
        <w:t>TKA (P &lt; .001). In patients with TKA following HTO, the estimated 1-year, 5-year, and</w:t>
      </w:r>
      <w:r>
        <w:rPr>
          <w:rFonts w:ascii="Times New Roman" w:hAnsi="Times New Roman" w:cs="Times New Roman"/>
          <w:sz w:val="24"/>
          <w:szCs w:val="24"/>
          <w:lang w:val="en-AU"/>
        </w:rPr>
        <w:t xml:space="preserve"> </w:t>
      </w:r>
      <w:r w:rsidRPr="004031A7">
        <w:rPr>
          <w:rFonts w:ascii="Times New Roman" w:hAnsi="Times New Roman" w:cs="Times New Roman"/>
          <w:sz w:val="24"/>
          <w:szCs w:val="24"/>
          <w:lang w:val="en-AU"/>
        </w:rPr>
        <w:t>10-year survivals were 0.97 with a 95% CI of 0.96-0.98, 0.93 (95% CI 0.91-0.94), and 0.91</w:t>
      </w:r>
      <w:r>
        <w:rPr>
          <w:rFonts w:ascii="Times New Roman" w:hAnsi="Times New Roman" w:cs="Times New Roman"/>
          <w:sz w:val="24"/>
          <w:szCs w:val="24"/>
          <w:lang w:val="en-AU"/>
        </w:rPr>
        <w:t xml:space="preserve"> </w:t>
      </w:r>
      <w:r w:rsidRPr="004031A7">
        <w:rPr>
          <w:rFonts w:ascii="Times New Roman" w:hAnsi="Times New Roman" w:cs="Times New Roman"/>
          <w:sz w:val="24"/>
          <w:szCs w:val="24"/>
          <w:lang w:val="en-AU"/>
        </w:rPr>
        <w:t>(95% CI 0.89-0.93), respectively. Accordingly, the estimated 1-year, 5-year, and 10-year</w:t>
      </w:r>
      <w:r>
        <w:rPr>
          <w:rFonts w:ascii="Times New Roman" w:hAnsi="Times New Roman" w:cs="Times New Roman"/>
          <w:sz w:val="24"/>
          <w:szCs w:val="24"/>
          <w:lang w:val="en-AU"/>
        </w:rPr>
        <w:t xml:space="preserve"> </w:t>
      </w:r>
      <w:r w:rsidRPr="004031A7">
        <w:rPr>
          <w:rFonts w:ascii="Times New Roman" w:hAnsi="Times New Roman" w:cs="Times New Roman"/>
          <w:sz w:val="24"/>
          <w:szCs w:val="24"/>
          <w:lang w:val="en-AU"/>
        </w:rPr>
        <w:t>survivals were 0.98 (95% CI 0.98-0.99), 0.96 (95% CI 0.96-0.96), and 0.94 (95% CI</w:t>
      </w:r>
      <w:r>
        <w:rPr>
          <w:rFonts w:ascii="Times New Roman" w:hAnsi="Times New Roman" w:cs="Times New Roman"/>
          <w:sz w:val="24"/>
          <w:szCs w:val="24"/>
          <w:lang w:val="en-AU"/>
        </w:rPr>
        <w:t xml:space="preserve"> </w:t>
      </w:r>
      <w:r w:rsidRPr="004031A7">
        <w:rPr>
          <w:rFonts w:ascii="Times New Roman" w:hAnsi="Times New Roman" w:cs="Times New Roman"/>
          <w:sz w:val="24"/>
          <w:szCs w:val="24"/>
          <w:lang w:val="en-AU"/>
        </w:rPr>
        <w:t>0.94-0.95) for de novo TKA.</w:t>
      </w:r>
    </w:p>
    <w:p w14:paraId="38952653" w14:textId="77777777" w:rsidR="004314A8" w:rsidRPr="004F672C" w:rsidRDefault="004314A8" w:rsidP="004F672C">
      <w:pPr>
        <w:jc w:val="both"/>
        <w:rPr>
          <w:rFonts w:ascii="Times New Roman" w:hAnsi="Times New Roman" w:cs="Times New Roman"/>
          <w:sz w:val="24"/>
          <w:szCs w:val="24"/>
          <w:lang w:val="en-AU"/>
        </w:rPr>
      </w:pPr>
    </w:p>
    <w:p w14:paraId="62FD1888" w14:textId="57BBF2BB" w:rsidR="004F672C" w:rsidRPr="004F672C" w:rsidRDefault="004F672C" w:rsidP="004F672C">
      <w:pPr>
        <w:jc w:val="both"/>
        <w:rPr>
          <w:rFonts w:ascii="Times New Roman" w:hAnsi="Times New Roman" w:cs="Times New Roman"/>
          <w:sz w:val="24"/>
          <w:szCs w:val="24"/>
          <w:lang w:val="en-AU"/>
        </w:rPr>
      </w:pPr>
      <w:r w:rsidRPr="004F672C">
        <w:rPr>
          <w:rFonts w:ascii="Times New Roman" w:hAnsi="Times New Roman" w:cs="Times New Roman"/>
          <w:sz w:val="24"/>
          <w:szCs w:val="24"/>
          <w:lang w:val="en-AU"/>
        </w:rPr>
        <w:t>Conclusion: TKA following HTO had a crude inferior survival when compared to TKA without prior</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surgery of any kind. The inferior survival was explainable by patient characteristics, defined by male</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gender and lower age, rather than the prior HTO. However, when the prior HTO resulted in the use of</w:t>
      </w:r>
      <w:r w:rsidR="002648E0">
        <w:rPr>
          <w:rFonts w:ascii="Times New Roman" w:hAnsi="Times New Roman" w:cs="Times New Roman"/>
          <w:sz w:val="24"/>
          <w:szCs w:val="24"/>
          <w:lang w:val="en-AU"/>
        </w:rPr>
        <w:t xml:space="preserve"> </w:t>
      </w:r>
      <w:r w:rsidRPr="004F672C">
        <w:rPr>
          <w:rFonts w:ascii="Times New Roman" w:hAnsi="Times New Roman" w:cs="Times New Roman"/>
          <w:sz w:val="24"/>
          <w:szCs w:val="24"/>
          <w:lang w:val="en-AU"/>
        </w:rPr>
        <w:t>posterior stabilized TKA the survival decreased.</w:t>
      </w:r>
    </w:p>
    <w:p w14:paraId="74AE6BF5" w14:textId="5CC1A490" w:rsidR="001B0C39" w:rsidRPr="004F672C" w:rsidRDefault="001B0C39" w:rsidP="001B0C39">
      <w:pPr>
        <w:ind w:left="284"/>
        <w:jc w:val="both"/>
        <w:rPr>
          <w:rFonts w:ascii="Times New Roman" w:hAnsi="Times New Roman" w:cs="Times New Roman"/>
          <w:sz w:val="24"/>
          <w:szCs w:val="24"/>
          <w:lang w:val="en-AU"/>
        </w:rPr>
      </w:pPr>
    </w:p>
    <w:p w14:paraId="0BD3047A" w14:textId="77777777" w:rsidR="001B0C39" w:rsidRPr="004F672C" w:rsidRDefault="001B0C39" w:rsidP="001B0C39">
      <w:pPr>
        <w:ind w:left="284"/>
        <w:jc w:val="both"/>
        <w:rPr>
          <w:rFonts w:ascii="Times New Roman" w:hAnsi="Times New Roman" w:cs="Times New Roman"/>
          <w:sz w:val="24"/>
          <w:szCs w:val="24"/>
          <w:lang w:val="en-AU"/>
        </w:rPr>
      </w:pPr>
    </w:p>
    <w:p w14:paraId="0007A827" w14:textId="40CA9CC9" w:rsidR="00BB69EC" w:rsidRPr="004F672C" w:rsidRDefault="00BB69EC" w:rsidP="00604744">
      <w:pPr>
        <w:jc w:val="both"/>
        <w:rPr>
          <w:rFonts w:ascii="Times New Roman" w:hAnsi="Times New Roman" w:cs="Times New Roman"/>
          <w:sz w:val="24"/>
          <w:szCs w:val="24"/>
          <w:lang w:val="en-AU"/>
        </w:rPr>
      </w:pPr>
    </w:p>
    <w:p w14:paraId="37EDA2D6" w14:textId="77777777" w:rsidR="00BB69EC" w:rsidRPr="004F672C" w:rsidRDefault="00BB69EC" w:rsidP="00604744">
      <w:pPr>
        <w:jc w:val="both"/>
        <w:rPr>
          <w:rFonts w:ascii="Times New Roman" w:hAnsi="Times New Roman" w:cs="Times New Roman"/>
          <w:sz w:val="24"/>
          <w:szCs w:val="24"/>
          <w:lang w:val="en-AU"/>
        </w:rPr>
      </w:pPr>
    </w:p>
    <w:sectPr w:rsidR="00BB69EC" w:rsidRPr="004F672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E1468"/>
    <w:multiLevelType w:val="hybridMultilevel"/>
    <w:tmpl w:val="124C600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FB85E54"/>
    <w:multiLevelType w:val="hybridMultilevel"/>
    <w:tmpl w:val="8F9267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4F83288"/>
    <w:multiLevelType w:val="hybridMultilevel"/>
    <w:tmpl w:val="07CED9E4"/>
    <w:lvl w:ilvl="0" w:tplc="A32A208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FA830C5"/>
    <w:multiLevelType w:val="hybridMultilevel"/>
    <w:tmpl w:val="E6EC7C76"/>
    <w:lvl w:ilvl="0" w:tplc="04100011">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616341A"/>
    <w:multiLevelType w:val="hybridMultilevel"/>
    <w:tmpl w:val="30B4E83E"/>
    <w:lvl w:ilvl="0" w:tplc="04100011">
      <w:start w:val="1"/>
      <w:numFmt w:val="decimal"/>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A91168B"/>
    <w:multiLevelType w:val="hybridMultilevel"/>
    <w:tmpl w:val="7540B33A"/>
    <w:lvl w:ilvl="0" w:tplc="5E74F804">
      <w:start w:val="4"/>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15:restartNumberingAfterBreak="0">
    <w:nsid w:val="71133E9C"/>
    <w:multiLevelType w:val="hybridMultilevel"/>
    <w:tmpl w:val="2E6A27BA"/>
    <w:lvl w:ilvl="0" w:tplc="A32A20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18"/>
    <w:rsid w:val="00076EE7"/>
    <w:rsid w:val="00081DB4"/>
    <w:rsid w:val="000A0317"/>
    <w:rsid w:val="000A09BC"/>
    <w:rsid w:val="000D7443"/>
    <w:rsid w:val="00130DB3"/>
    <w:rsid w:val="00177811"/>
    <w:rsid w:val="001B0C39"/>
    <w:rsid w:val="001C4B56"/>
    <w:rsid w:val="001D12F7"/>
    <w:rsid w:val="001E5CC6"/>
    <w:rsid w:val="0020177C"/>
    <w:rsid w:val="00207E66"/>
    <w:rsid w:val="002149EF"/>
    <w:rsid w:val="00227B67"/>
    <w:rsid w:val="00256420"/>
    <w:rsid w:val="00262E3C"/>
    <w:rsid w:val="002648E0"/>
    <w:rsid w:val="002702CA"/>
    <w:rsid w:val="00272CBA"/>
    <w:rsid w:val="003F118B"/>
    <w:rsid w:val="004031A7"/>
    <w:rsid w:val="00415F57"/>
    <w:rsid w:val="004314A8"/>
    <w:rsid w:val="00434D9A"/>
    <w:rsid w:val="004524D1"/>
    <w:rsid w:val="00461C9E"/>
    <w:rsid w:val="004659BD"/>
    <w:rsid w:val="004953A5"/>
    <w:rsid w:val="004B790E"/>
    <w:rsid w:val="004C3B96"/>
    <w:rsid w:val="004F672C"/>
    <w:rsid w:val="0052509F"/>
    <w:rsid w:val="005449AE"/>
    <w:rsid w:val="00565BD4"/>
    <w:rsid w:val="00583996"/>
    <w:rsid w:val="00597424"/>
    <w:rsid w:val="005A204B"/>
    <w:rsid w:val="005C38F6"/>
    <w:rsid w:val="00600EDB"/>
    <w:rsid w:val="00604744"/>
    <w:rsid w:val="00617BB9"/>
    <w:rsid w:val="006357F8"/>
    <w:rsid w:val="006368EA"/>
    <w:rsid w:val="0067640B"/>
    <w:rsid w:val="006A3297"/>
    <w:rsid w:val="006D75E9"/>
    <w:rsid w:val="006E77DF"/>
    <w:rsid w:val="007113EE"/>
    <w:rsid w:val="00783567"/>
    <w:rsid w:val="007A27FA"/>
    <w:rsid w:val="007E44AE"/>
    <w:rsid w:val="00823012"/>
    <w:rsid w:val="0084740F"/>
    <w:rsid w:val="008566E1"/>
    <w:rsid w:val="00872294"/>
    <w:rsid w:val="00885C45"/>
    <w:rsid w:val="008D6012"/>
    <w:rsid w:val="00921611"/>
    <w:rsid w:val="009757A8"/>
    <w:rsid w:val="009D3A18"/>
    <w:rsid w:val="009E12A3"/>
    <w:rsid w:val="009E1EC5"/>
    <w:rsid w:val="009F74A2"/>
    <w:rsid w:val="00A33BD3"/>
    <w:rsid w:val="00AD03DF"/>
    <w:rsid w:val="00AF224C"/>
    <w:rsid w:val="00B045EE"/>
    <w:rsid w:val="00B43F0D"/>
    <w:rsid w:val="00B921C4"/>
    <w:rsid w:val="00BB69EC"/>
    <w:rsid w:val="00BD5FAD"/>
    <w:rsid w:val="00C117A2"/>
    <w:rsid w:val="00C339D3"/>
    <w:rsid w:val="00C66115"/>
    <w:rsid w:val="00C724C4"/>
    <w:rsid w:val="00C9161B"/>
    <w:rsid w:val="00CC192D"/>
    <w:rsid w:val="00D52D03"/>
    <w:rsid w:val="00D7393F"/>
    <w:rsid w:val="00DA23A5"/>
    <w:rsid w:val="00DA4B40"/>
    <w:rsid w:val="00DB1C37"/>
    <w:rsid w:val="00DB4F51"/>
    <w:rsid w:val="00DE548D"/>
    <w:rsid w:val="00E4108C"/>
    <w:rsid w:val="00E76418"/>
    <w:rsid w:val="00E87B48"/>
    <w:rsid w:val="00EA2556"/>
    <w:rsid w:val="00EB15AD"/>
    <w:rsid w:val="00F14C22"/>
    <w:rsid w:val="00F3274C"/>
    <w:rsid w:val="00F56551"/>
    <w:rsid w:val="00FB57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A934B"/>
  <w15:chartTrackingRefBased/>
  <w15:docId w15:val="{72AF9411-63EE-4848-936B-FD857932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76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D7443"/>
    <w:pPr>
      <w:ind w:left="720"/>
      <w:contextualSpacing/>
    </w:pPr>
  </w:style>
  <w:style w:type="paragraph" w:styleId="Titolo">
    <w:name w:val="Title"/>
    <w:basedOn w:val="Normale"/>
    <w:next w:val="Normale"/>
    <w:link w:val="TitoloCarattere"/>
    <w:uiPriority w:val="10"/>
    <w:qFormat/>
    <w:rsid w:val="00B045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045EE"/>
    <w:rPr>
      <w:rFonts w:asciiTheme="majorHAnsi" w:eastAsiaTheme="majorEastAsia" w:hAnsiTheme="majorHAnsi" w:cstheme="majorBidi"/>
      <w:spacing w:val="-10"/>
      <w:kern w:val="28"/>
      <w:sz w:val="56"/>
      <w:szCs w:val="56"/>
    </w:rPr>
  </w:style>
  <w:style w:type="character" w:styleId="Collegamentoipertestuale">
    <w:name w:val="Hyperlink"/>
    <w:basedOn w:val="Carpredefinitoparagrafo"/>
    <w:uiPriority w:val="99"/>
    <w:unhideWhenUsed/>
    <w:rsid w:val="00C9161B"/>
    <w:rPr>
      <w:color w:val="0563C1" w:themeColor="hyperlink"/>
      <w:u w:val="single"/>
    </w:rPr>
  </w:style>
  <w:style w:type="character" w:styleId="Menzionenonrisolta">
    <w:name w:val="Unresolved Mention"/>
    <w:basedOn w:val="Carpredefinitoparagrafo"/>
    <w:uiPriority w:val="99"/>
    <w:semiHidden/>
    <w:unhideWhenUsed/>
    <w:rsid w:val="00C9161B"/>
    <w:rPr>
      <w:color w:val="605E5C"/>
      <w:shd w:val="clear" w:color="auto" w:fill="E1DFDD"/>
    </w:rPr>
  </w:style>
  <w:style w:type="character" w:customStyle="1" w:styleId="Titolo1Carattere">
    <w:name w:val="Titolo 1 Carattere"/>
    <w:basedOn w:val="Carpredefinitoparagrafo"/>
    <w:link w:val="Titolo1"/>
    <w:uiPriority w:val="9"/>
    <w:rsid w:val="006764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6DEB2-2773-474A-9E3A-7C8237325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5304</Words>
  <Characters>30237</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gianmarco regazzola</dc:creator>
  <cp:keywords/>
  <dc:description/>
  <cp:lastModifiedBy>michele malavolta</cp:lastModifiedBy>
  <cp:revision>2</cp:revision>
  <dcterms:created xsi:type="dcterms:W3CDTF">2020-10-11T16:38:00Z</dcterms:created>
  <dcterms:modified xsi:type="dcterms:W3CDTF">2020-10-11T16:38:00Z</dcterms:modified>
</cp:coreProperties>
</file>